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snapToGrid/>
        <w:spacing w:line="560" w:lineRule="exact"/>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汕龙农农规2020001</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bCs/>
          <w:sz w:val="32"/>
          <w:szCs w:val="32"/>
        </w:rPr>
      </w:pPr>
    </w:p>
    <w:p>
      <w:pPr>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rPr>
      </w:pPr>
    </w:p>
    <w:p>
      <w:pPr>
        <w:pStyle w:val="2"/>
        <w:pageBreakBefore w:val="0"/>
        <w:widowControl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pPr>
    </w:p>
    <w:p>
      <w:pPr>
        <w:pageBreakBefore w:val="0"/>
        <w:widowControl w:val="0"/>
        <w:kinsoku/>
        <w:wordWrap/>
        <w:overflowPunct/>
        <w:topLinePunct w:val="0"/>
        <w:autoSpaceDE/>
        <w:autoSpaceDN/>
        <w:bidi w:val="0"/>
        <w:spacing w:line="560" w:lineRule="exact"/>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汕龙农农〔2020〕45号</w:t>
      </w:r>
    </w:p>
    <w:p>
      <w:pPr>
        <w:pStyle w:val="2"/>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sz w:val="32"/>
          <w:szCs w:val="32"/>
          <w:highlight w:val="none"/>
        </w:rPr>
      </w:pPr>
    </w:p>
    <w:p>
      <w:pPr>
        <w:rPr>
          <w:rFonts w:hint="eastAsia"/>
        </w:rPr>
      </w:pPr>
      <w:bookmarkStart w:id="0" w:name="_GoBack"/>
      <w:bookmarkEnd w:id="0"/>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关于印发《龙湖区农业农村局关于家庭农场</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sz w:val="44"/>
          <w:szCs w:val="44"/>
          <w:highlight w:val="none"/>
        </w:rPr>
      </w:pPr>
      <w:r>
        <w:rPr>
          <w:rFonts w:hint="eastAsia" w:ascii="方正小标宋简体" w:hAnsi="方正小标宋简体" w:eastAsia="方正小标宋简体" w:cs="方正小标宋简体"/>
          <w:b w:val="0"/>
          <w:bCs/>
          <w:sz w:val="44"/>
          <w:szCs w:val="44"/>
          <w:highlight w:val="none"/>
        </w:rPr>
        <w:t>认定管理的办法》的通知</w:t>
      </w: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各街道党工委和办事处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区各有关单位：</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规范和加强我区家庭农场的认定与运行管理工作，引导我区家庭农场健康发展，培育新型农业经营主体，带动激发农业农村发展活力，促进现代农业发展，现将《龙湖区农业农村局关于家庭农场认定管理的办法》印发给你们，请遵照执行。</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（联系电话：88836825，邮箱：lhnyjncg@163.com）</w:t>
      </w: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pStyle w:val="2"/>
        <w:pageBreakBefore w:val="0"/>
        <w:kinsoku/>
        <w:wordWrap/>
        <w:overflowPunct/>
        <w:topLinePunct w:val="0"/>
        <w:autoSpaceDE/>
        <w:autoSpaceDN/>
        <w:bidi w:val="0"/>
        <w:spacing w:line="560" w:lineRule="exact"/>
        <w:textAlignment w:val="auto"/>
        <w:rPr>
          <w:rFonts w:hint="eastAsia"/>
          <w:sz w:val="32"/>
          <w:szCs w:val="32"/>
          <w:lang w:val="en-US" w:eastAsia="zh-CN"/>
        </w:rPr>
      </w:pPr>
    </w:p>
    <w:p>
      <w:pPr>
        <w:keepNext w:val="0"/>
        <w:keepLines w:val="0"/>
        <w:pageBreakBefore w:val="0"/>
        <w:widowControl w:val="0"/>
        <w:kinsoku/>
        <w:wordWrap/>
        <w:overflowPunct/>
        <w:topLinePunct w:val="0"/>
        <w:autoSpaceDE/>
        <w:autoSpaceDN/>
        <w:bidi w:val="0"/>
        <w:snapToGrid/>
        <w:spacing w:line="560" w:lineRule="exact"/>
        <w:ind w:left="5230" w:leftChars="281" w:hanging="4640" w:hangingChars="145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龙湖区</w:t>
      </w:r>
      <w:r>
        <w:rPr>
          <w:rFonts w:hint="eastAsia" w:ascii="仿宋_GB2312" w:hAnsi="仿宋_GB2312" w:eastAsia="仿宋_GB2312" w:cs="仿宋_GB2312"/>
          <w:sz w:val="32"/>
          <w:szCs w:val="32"/>
          <w:lang w:val="en-US" w:eastAsia="zh-CN"/>
        </w:rPr>
        <w:t>农业农村局</w:t>
      </w:r>
      <w:r>
        <w:rPr>
          <w:rFonts w:hint="eastAsia" w:ascii="仿宋_GB2312" w:hAnsi="仿宋_GB2312" w:eastAsia="仿宋_GB2312" w:cs="仿宋_GB2312"/>
          <w:sz w:val="32"/>
          <w:szCs w:val="32"/>
        </w:rPr>
        <w:t xml:space="preserve">                               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27</w:t>
      </w:r>
      <w:r>
        <w:rPr>
          <w:rFonts w:hint="eastAsia" w:ascii="仿宋_GB2312" w:hAnsi="仿宋_GB2312" w:eastAsia="仿宋_GB2312" w:cs="仿宋_GB2312"/>
          <w:sz w:val="32"/>
          <w:szCs w:val="32"/>
        </w:rPr>
        <w:t>日</w:t>
      </w:r>
    </w:p>
    <w:p>
      <w:pPr>
        <w:pStyle w:val="2"/>
        <w:pageBreakBefore w:val="0"/>
        <w:widowControl w:val="0"/>
        <w:kinsoku/>
        <w:wordWrap/>
        <w:overflowPunct/>
        <w:topLinePunct w:val="0"/>
        <w:autoSpaceDE/>
        <w:autoSpaceDN/>
        <w:bidi w:val="0"/>
        <w:spacing w:line="560" w:lineRule="exact"/>
        <w:textAlignment w:val="auto"/>
        <w:rPr>
          <w:rFonts w:hint="eastAsia"/>
          <w:sz w:val="32"/>
          <w:szCs w:val="32"/>
        </w:rPr>
      </w:pPr>
    </w:p>
    <w:p>
      <w:pPr>
        <w:keepNext w:val="0"/>
        <w:keepLines w:val="0"/>
        <w:pageBreakBefore w:val="0"/>
        <w:widowControl w:val="0"/>
        <w:pBdr>
          <w:top w:val="single" w:color="auto" w:sz="6" w:space="1"/>
          <w:bottom w:val="single" w:color="auto" w:sz="6" w:space="1"/>
        </w:pBdr>
        <w:kinsoku/>
        <w:wordWrap/>
        <w:overflowPunct/>
        <w:topLinePunct w:val="0"/>
        <w:autoSpaceDE/>
        <w:autoSpaceDN/>
        <w:bidi w:val="0"/>
        <w:snapToGrid/>
        <w:spacing w:line="560" w:lineRule="exact"/>
        <w:textAlignment w:val="auto"/>
        <w:rPr>
          <w:rFonts w:hint="eastAsia" w:ascii="仿宋_GB2312" w:hAnsi="仿宋_GB2312" w:eastAsia="仿宋_GB2312" w:cs="仿宋_GB2312"/>
          <w:spacing w:val="-18"/>
          <w:sz w:val="32"/>
          <w:szCs w:val="32"/>
          <w:lang w:val="en-US" w:eastAsia="zh-CN"/>
        </w:rPr>
      </w:pPr>
      <w:r>
        <w:rPr>
          <w:rFonts w:hint="eastAsia" w:ascii="仿宋_GB2312" w:hAnsi="仿宋_GB2312" w:eastAsia="仿宋_GB2312" w:cs="仿宋_GB2312"/>
          <w:spacing w:val="-18"/>
          <w:sz w:val="32"/>
          <w:szCs w:val="32"/>
          <w:lang w:val="en-US" w:eastAsia="zh-CN"/>
        </w:rPr>
        <w:t>抄送：林文光副区长</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br w:type="page"/>
      </w:r>
    </w:p>
    <w:p>
      <w:pPr>
        <w:keepNext w:val="0"/>
        <w:keepLines w:val="0"/>
        <w:pageBreakBefore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龙湖区农业农村局关于家庭农场</w:t>
      </w:r>
    </w:p>
    <w:p>
      <w:pPr>
        <w:keepNext w:val="0"/>
        <w:keepLines w:val="0"/>
        <w:pageBreakBefore w:val="0"/>
        <w:kinsoku/>
        <w:wordWrap/>
        <w:overflowPunct/>
        <w:topLinePunct w:val="0"/>
        <w:autoSpaceDE/>
        <w:autoSpaceDN/>
        <w:bidi w:val="0"/>
        <w:snapToGrid/>
        <w:spacing w:line="56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认定管理的办法</w:t>
      </w:r>
    </w:p>
    <w:p>
      <w:pPr>
        <w:pStyle w:val="12"/>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pStyle w:val="12"/>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rPr>
          <w:rFonts w:ascii="黑体" w:hAnsi="黑体" w:eastAsia="黑体" w:cs="黑体"/>
          <w:sz w:val="32"/>
          <w:highlight w:val="none"/>
        </w:rPr>
      </w:pPr>
      <w:r>
        <w:rPr>
          <w:rFonts w:hint="eastAsia" w:ascii="黑体" w:hAnsi="黑体" w:eastAsia="黑体" w:cs="黑体"/>
          <w:sz w:val="32"/>
          <w:highlight w:val="none"/>
        </w:rPr>
        <w:t>第一章  总则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第一条</w:t>
      </w:r>
      <w:r>
        <w:rPr>
          <w:rFonts w:hint="eastAsia" w:ascii="Times New Roman" w:hAnsi="Times New Roman" w:eastAsia="仿宋_GB2312" w:cs="Times New Roman"/>
          <w:sz w:val="32"/>
          <w:szCs w:val="32"/>
          <w:highlight w:val="none"/>
        </w:rPr>
        <w:t xml:space="preserve">  为贯彻落实《广东省农业厅关于促进我省家庭农场发展的意见》（粤农〔2014〕310号）、《广东省农业厅关于省级示范家庭农场认定管理的办法》（粤农规〔2018〕6号）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fldChar w:fldCharType="begin"/>
      </w:r>
      <w:r>
        <w:rPr>
          <w:rFonts w:hint="eastAsia" w:ascii="Times New Roman" w:hAnsi="Times New Roman" w:eastAsia="仿宋_GB2312" w:cs="Times New Roman"/>
          <w:sz w:val="32"/>
          <w:szCs w:val="32"/>
          <w:highlight w:val="none"/>
        </w:rPr>
        <w:instrText xml:space="preserve"> HYPERLINK "http://www.shantou.gov.cn/agri/0500/201907/9e940266b7ee4a52bbbd4867ec1f3121/files/31bbf21c94f848959bc861b0ef7ed7c3.docx" \t "http://www.shantou.gov.cn/agri/0500/201907/_blank" </w:instrText>
      </w:r>
      <w:r>
        <w:rPr>
          <w:rFonts w:hint="eastAsia" w:ascii="Times New Roman" w:hAnsi="Times New Roman" w:eastAsia="仿宋_GB2312" w:cs="Times New Roman"/>
          <w:sz w:val="32"/>
          <w:szCs w:val="32"/>
          <w:highlight w:val="none"/>
        </w:rPr>
        <w:fldChar w:fldCharType="separate"/>
      </w:r>
      <w:r>
        <w:rPr>
          <w:rStyle w:val="7"/>
          <w:rFonts w:hint="eastAsia" w:ascii="Times New Roman" w:hAnsi="Times New Roman" w:eastAsia="仿宋_GB2312" w:cs="Times New Roman"/>
          <w:sz w:val="32"/>
          <w:szCs w:val="32"/>
          <w:highlight w:val="none"/>
        </w:rPr>
        <w:t>汕头市农业农村局关于家庭农场认定及市级示范性家庭农场评定管理的办法</w:t>
      </w:r>
      <w:r>
        <w:rPr>
          <w:rFonts w:hint="eastAsia" w:ascii="Times New Roman" w:hAnsi="Times New Roman" w:eastAsia="仿宋_GB2312" w:cs="Times New Roman"/>
          <w:sz w:val="32"/>
          <w:szCs w:val="32"/>
          <w:highlight w:val="none"/>
        </w:rPr>
        <w:fldChar w:fldCharType="end"/>
      </w:r>
      <w:r>
        <w:rPr>
          <w:rFonts w:hint="eastAsia" w:ascii="Times New Roman" w:hAnsi="Times New Roman" w:eastAsia="仿宋_GB2312" w:cs="Times New Roman"/>
          <w:sz w:val="32"/>
          <w:szCs w:val="32"/>
          <w:highlight w:val="none"/>
          <w:lang w:eastAsia="zh-CN"/>
        </w:rPr>
        <w:t>》（汕市农农〔</w:t>
      </w:r>
      <w:r>
        <w:rPr>
          <w:rFonts w:hint="eastAsia" w:ascii="Times New Roman" w:hAnsi="Times New Roman" w:eastAsia="仿宋_GB2312" w:cs="Times New Roman"/>
          <w:sz w:val="32"/>
          <w:szCs w:val="32"/>
          <w:highlight w:val="none"/>
          <w:lang w:val="en-US" w:eastAsia="zh-CN"/>
        </w:rPr>
        <w:t>2019〕135号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精神，引导我</w:t>
      </w:r>
      <w:r>
        <w:rPr>
          <w:rFonts w:hint="eastAsia" w:ascii="Times New Roman" w:hAnsi="Times New Roman" w:eastAsia="仿宋_GB2312" w:cs="Times New Roman"/>
          <w:sz w:val="32"/>
          <w:szCs w:val="32"/>
          <w:highlight w:val="none"/>
          <w:lang w:eastAsia="zh-CN"/>
        </w:rPr>
        <w:t>区</w:t>
      </w:r>
      <w:r>
        <w:rPr>
          <w:rFonts w:hint="eastAsia" w:ascii="Times New Roman" w:hAnsi="Times New Roman" w:eastAsia="仿宋_GB2312" w:cs="Times New Roman"/>
          <w:sz w:val="32"/>
          <w:szCs w:val="32"/>
          <w:highlight w:val="none"/>
        </w:rPr>
        <w:t>家庭农场健康发展，培育新型农业经营主体，带动激发农业农村发展活力，促进现代农业发展，结合我</w:t>
      </w:r>
      <w:r>
        <w:rPr>
          <w:rFonts w:hint="eastAsia" w:ascii="Times New Roman" w:hAnsi="Times New Roman" w:eastAsia="仿宋_GB2312" w:cs="Times New Roman"/>
          <w:sz w:val="32"/>
          <w:szCs w:val="32"/>
          <w:highlight w:val="none"/>
          <w:lang w:eastAsia="zh-CN"/>
        </w:rPr>
        <w:t>区</w:t>
      </w:r>
      <w:r>
        <w:rPr>
          <w:rFonts w:hint="eastAsia" w:ascii="Times New Roman" w:hAnsi="Times New Roman" w:eastAsia="仿宋_GB2312" w:cs="Times New Roman"/>
          <w:sz w:val="32"/>
          <w:szCs w:val="32"/>
          <w:highlight w:val="none"/>
        </w:rPr>
        <w:t>实际，制定本办法。</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第二条</w:t>
      </w:r>
      <w:r>
        <w:rPr>
          <w:rFonts w:hint="eastAsia" w:ascii="Times New Roman" w:hAnsi="Times New Roman" w:eastAsia="仿宋_GB2312" w:cs="Times New Roman"/>
          <w:sz w:val="32"/>
          <w:szCs w:val="32"/>
          <w:highlight w:val="none"/>
        </w:rPr>
        <w:t xml:space="preserve">  本办法所称家庭农场是指以农户家庭为基本生产经营单位，以家庭成员为主要劳动力，以农业经营收入为家庭主要收入来源，从事农业集约化、商品化及适度规模化生产经营，达到一定经营规模并相对稳定的新型农业经营主体。</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b/>
          <w:sz w:val="32"/>
          <w:szCs w:val="32"/>
          <w:highlight w:val="none"/>
        </w:rPr>
        <w:t>第三条</w:t>
      </w:r>
      <w:r>
        <w:rPr>
          <w:rFonts w:hint="eastAsia" w:ascii="Times New Roman" w:hAnsi="Times New Roman" w:eastAsia="仿宋_GB2312" w:cs="Times New Roman"/>
          <w:sz w:val="32"/>
          <w:szCs w:val="32"/>
          <w:highlight w:val="none"/>
        </w:rPr>
        <w:t xml:space="preserve">  区</w:t>
      </w:r>
      <w:r>
        <w:rPr>
          <w:rFonts w:hint="eastAsia" w:ascii="Times New Roman" w:hAnsi="Times New Roman" w:eastAsia="仿宋_GB2312" w:cs="Times New Roman"/>
          <w:sz w:val="32"/>
          <w:szCs w:val="32"/>
          <w:highlight w:val="none"/>
          <w:lang w:eastAsia="zh-CN"/>
        </w:rPr>
        <w:t>农业农村局</w:t>
      </w:r>
      <w:r>
        <w:rPr>
          <w:rFonts w:hint="eastAsia" w:ascii="Times New Roman" w:hAnsi="Times New Roman" w:eastAsia="仿宋_GB2312" w:cs="Times New Roman"/>
          <w:sz w:val="32"/>
          <w:szCs w:val="32"/>
          <w:highlight w:val="none"/>
        </w:rPr>
        <w:t>负责</w:t>
      </w:r>
      <w:r>
        <w:rPr>
          <w:rFonts w:hint="eastAsia" w:ascii="Times New Roman" w:hAnsi="Times New Roman" w:eastAsia="仿宋_GB2312" w:cs="Times New Roman"/>
          <w:sz w:val="32"/>
          <w:szCs w:val="32"/>
          <w:highlight w:val="none"/>
          <w:lang w:eastAsia="zh-CN"/>
        </w:rPr>
        <w:t>全区</w:t>
      </w:r>
      <w:r>
        <w:rPr>
          <w:rFonts w:hint="eastAsia" w:ascii="Times New Roman" w:hAnsi="Times New Roman" w:eastAsia="仿宋_GB2312" w:cs="Times New Roman"/>
          <w:sz w:val="32"/>
          <w:szCs w:val="32"/>
          <w:highlight w:val="none"/>
        </w:rPr>
        <w:t>家庭农场</w:t>
      </w:r>
      <w:r>
        <w:rPr>
          <w:rFonts w:hint="eastAsia" w:ascii="Times New Roman" w:hAnsi="Times New Roman" w:eastAsia="仿宋_GB2312" w:cs="Times New Roman"/>
          <w:sz w:val="32"/>
          <w:szCs w:val="32"/>
          <w:highlight w:val="none"/>
          <w:lang w:val="en-US" w:eastAsia="zh-CN"/>
        </w:rPr>
        <w:t>的</w:t>
      </w:r>
      <w:r>
        <w:rPr>
          <w:rFonts w:hint="eastAsia" w:ascii="Times New Roman" w:hAnsi="Times New Roman" w:eastAsia="仿宋_GB2312" w:cs="Times New Roman"/>
          <w:sz w:val="32"/>
          <w:szCs w:val="32"/>
          <w:highlight w:val="none"/>
        </w:rPr>
        <w:t>认定、监测、管理和服务工作</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各</w:t>
      </w:r>
      <w:r>
        <w:rPr>
          <w:rFonts w:hint="eastAsia" w:ascii="Times New Roman" w:hAnsi="Times New Roman" w:eastAsia="仿宋_GB2312" w:cs="Times New Roman"/>
          <w:sz w:val="32"/>
          <w:szCs w:val="32"/>
          <w:highlight w:val="none"/>
          <w:lang w:eastAsia="zh-CN"/>
        </w:rPr>
        <w:t>街道</w:t>
      </w:r>
      <w:r>
        <w:rPr>
          <w:rFonts w:hint="eastAsia" w:ascii="Times New Roman" w:hAnsi="Times New Roman" w:eastAsia="仿宋_GB2312" w:cs="Times New Roman"/>
          <w:sz w:val="32"/>
          <w:szCs w:val="32"/>
          <w:highlight w:val="none"/>
          <w:lang w:val="en-US" w:eastAsia="zh-CN"/>
        </w:rPr>
        <w:t>具体</w:t>
      </w:r>
      <w:r>
        <w:rPr>
          <w:rFonts w:hint="eastAsia" w:ascii="Times New Roman" w:hAnsi="Times New Roman" w:eastAsia="仿宋_GB2312" w:cs="Times New Roman"/>
          <w:sz w:val="32"/>
          <w:szCs w:val="32"/>
          <w:highlight w:val="none"/>
          <w:lang w:eastAsia="zh-CN"/>
        </w:rPr>
        <w:t>负责</w:t>
      </w:r>
      <w:r>
        <w:rPr>
          <w:rFonts w:hint="eastAsia" w:ascii="Times New Roman" w:hAnsi="Times New Roman" w:eastAsia="仿宋_GB2312" w:cs="Times New Roman"/>
          <w:sz w:val="32"/>
          <w:szCs w:val="32"/>
          <w:highlight w:val="none"/>
        </w:rPr>
        <w:t>辖区内家庭农场</w:t>
      </w:r>
      <w:r>
        <w:rPr>
          <w:rFonts w:hint="eastAsia" w:ascii="Times New Roman" w:hAnsi="Times New Roman" w:eastAsia="仿宋_GB2312" w:cs="Times New Roman"/>
          <w:sz w:val="32"/>
          <w:szCs w:val="32"/>
          <w:highlight w:val="none"/>
          <w:lang w:val="en-US" w:eastAsia="zh-CN"/>
        </w:rPr>
        <w:t>的申报受理、审查核实，并配合做好监测、管理和服务工作</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val="en-US" w:eastAsia="zh-CN"/>
        </w:rPr>
        <w:t>四</w:t>
      </w:r>
      <w:r>
        <w:rPr>
          <w:rFonts w:hint="eastAsia" w:ascii="Times New Roman" w:hAnsi="Times New Roman" w:eastAsia="仿宋_GB2312" w:cs="Times New Roman"/>
          <w:b/>
          <w:sz w:val="32"/>
          <w:szCs w:val="32"/>
          <w:highlight w:val="none"/>
        </w:rPr>
        <w:t>条</w:t>
      </w:r>
      <w:r>
        <w:rPr>
          <w:rFonts w:hint="eastAsia" w:ascii="黑体" w:hAnsi="黑体" w:eastAsia="黑体" w:cs="Times New Roman"/>
          <w:sz w:val="32"/>
          <w:szCs w:val="32"/>
          <w:highlight w:val="none"/>
        </w:rPr>
        <w:t xml:space="preserve">  </w:t>
      </w:r>
      <w:r>
        <w:rPr>
          <w:rFonts w:hint="eastAsia" w:ascii="Times New Roman" w:hAnsi="Times New Roman" w:eastAsia="仿宋_GB2312" w:cs="Times New Roman"/>
          <w:sz w:val="32"/>
          <w:szCs w:val="32"/>
          <w:highlight w:val="none"/>
        </w:rPr>
        <w:t>家庭农场实行自愿申请、政府认定、动态管理原则。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highlight w:val="none"/>
        </w:rPr>
      </w:pPr>
      <w:r>
        <w:rPr>
          <w:rFonts w:hint="eastAsia" w:ascii="黑体" w:hAnsi="黑体" w:eastAsia="黑体" w:cs="Times New Roman"/>
          <w:sz w:val="32"/>
          <w:szCs w:val="32"/>
          <w:highlight w:val="none"/>
        </w:rPr>
        <w:t>第二章  家庭农场认定标准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val="en-US" w:eastAsia="zh-CN"/>
        </w:rPr>
        <w:t>五</w:t>
      </w:r>
      <w:r>
        <w:rPr>
          <w:rFonts w:hint="eastAsia" w:ascii="Times New Roman" w:hAnsi="Times New Roman" w:eastAsia="仿宋_GB2312" w:cs="Times New Roman"/>
          <w:b/>
          <w:sz w:val="32"/>
          <w:szCs w:val="32"/>
          <w:highlight w:val="none"/>
        </w:rPr>
        <w:t>条</w:t>
      </w:r>
      <w:r>
        <w:rPr>
          <w:rFonts w:hint="eastAsia" w:ascii="黑体" w:hAnsi="黑体" w:eastAsia="黑体" w:cs="Times New Roman"/>
          <w:sz w:val="32"/>
          <w:szCs w:val="32"/>
          <w:highlight w:val="none"/>
        </w:rPr>
        <w:t xml:space="preserve">  </w:t>
      </w:r>
      <w:r>
        <w:rPr>
          <w:rFonts w:hint="eastAsia" w:ascii="Times New Roman" w:hAnsi="Times New Roman" w:eastAsia="仿宋_GB2312" w:cs="Times New Roman"/>
          <w:sz w:val="32"/>
          <w:szCs w:val="32"/>
          <w:highlight w:val="none"/>
        </w:rPr>
        <w:t>家庭农场原则上需符合以下条件：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w:t>
      </w:r>
      <w:r>
        <w:rPr>
          <w:rFonts w:ascii="Times New Roman" w:hAnsi="Times New Roman" w:eastAsia="仿宋_GB2312" w:cs="Times New Roman"/>
          <w:sz w:val="32"/>
          <w:szCs w:val="32"/>
          <w:highlight w:val="none"/>
        </w:rPr>
        <w:t>经营者原则上应是</w:t>
      </w:r>
      <w:r>
        <w:rPr>
          <w:rFonts w:hint="eastAsia" w:ascii="Times New Roman" w:hAnsi="Times New Roman" w:eastAsia="仿宋_GB2312" w:cs="Times New Roman"/>
          <w:sz w:val="32"/>
          <w:szCs w:val="32"/>
          <w:highlight w:val="none"/>
        </w:rPr>
        <w:t>具有完全民事行为能力的农村居民（含农村社区居民）、有农村土地承包经营权的自然人或其他长期从事</w:t>
      </w:r>
      <w:r>
        <w:rPr>
          <w:rFonts w:ascii="Times New Roman" w:hAnsi="Times New Roman" w:eastAsia="仿宋_GB2312" w:cs="Times New Roman"/>
          <w:sz w:val="32"/>
          <w:szCs w:val="32"/>
          <w:highlight w:val="none"/>
        </w:rPr>
        <w:t>农业生产</w:t>
      </w:r>
      <w:r>
        <w:rPr>
          <w:rFonts w:hint="eastAsia" w:ascii="Times New Roman" w:hAnsi="Times New Roman" w:eastAsia="仿宋_GB2312" w:cs="Times New Roman"/>
          <w:sz w:val="32"/>
          <w:szCs w:val="32"/>
          <w:highlight w:val="none"/>
        </w:rPr>
        <w:t>的人员</w:t>
      </w:r>
      <w:r>
        <w:rPr>
          <w:rFonts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（二）以家庭成员为主要劳动力，常年雇工人数原则上不得超过家庭务农人员数量。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（三）家庭农场经营者以农业经营收入为主要收入来源，农业净收入占家庭农场总收益的80%以上。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（四）经营规模达到一定标准并相对稳定：</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从事种植业的，以粮食作物、水果种植为主的，土地经营面积达到</w:t>
      </w:r>
      <w:r>
        <w:rPr>
          <w:rFonts w:hint="eastAsia" w:ascii="Times New Roman" w:hAnsi="Times New Roman" w:eastAsia="仿宋_GB2312" w:cs="Times New Roman"/>
          <w:sz w:val="32"/>
          <w:szCs w:val="32"/>
          <w:highlight w:val="none"/>
          <w:lang w:val="en-US"/>
        </w:rPr>
        <w:t>50</w:t>
      </w:r>
      <w:r>
        <w:rPr>
          <w:rFonts w:hint="eastAsia" w:ascii="Times New Roman" w:hAnsi="Times New Roman" w:eastAsia="仿宋_GB2312" w:cs="Times New Roman"/>
          <w:sz w:val="32"/>
          <w:szCs w:val="32"/>
          <w:highlight w:val="none"/>
        </w:rPr>
        <w:t>亩以上；以蔬菜、茶叶、花卉苗木生产为主的，土地经营面积达到</w:t>
      </w:r>
      <w:r>
        <w:rPr>
          <w:rFonts w:hint="eastAsia" w:ascii="Times New Roman" w:hAnsi="Times New Roman" w:eastAsia="仿宋_GB2312" w:cs="Times New Roman"/>
          <w:sz w:val="32"/>
          <w:szCs w:val="32"/>
          <w:highlight w:val="none"/>
          <w:lang w:val="en-US"/>
        </w:rPr>
        <w:t>25</w:t>
      </w:r>
      <w:r>
        <w:rPr>
          <w:rFonts w:hint="eastAsia" w:ascii="Times New Roman" w:hAnsi="Times New Roman" w:eastAsia="仿宋_GB2312" w:cs="Times New Roman"/>
          <w:sz w:val="32"/>
          <w:szCs w:val="32"/>
          <w:highlight w:val="none"/>
        </w:rPr>
        <w:t>亩以上。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从事养殖业的，肉畜（包括生猪、羊）年出栏</w:t>
      </w:r>
      <w:r>
        <w:rPr>
          <w:rFonts w:hint="eastAsia" w:ascii="Times New Roman" w:hAnsi="Times New Roman" w:eastAsia="仿宋_GB2312" w:cs="Times New Roman"/>
          <w:sz w:val="32"/>
          <w:szCs w:val="32"/>
          <w:highlight w:val="none"/>
          <w:lang w:val="en-US"/>
        </w:rPr>
        <w:t>100</w:t>
      </w:r>
      <w:r>
        <w:rPr>
          <w:rFonts w:hint="eastAsia" w:ascii="Times New Roman" w:hAnsi="Times New Roman" w:eastAsia="仿宋_GB2312" w:cs="Times New Roman"/>
          <w:sz w:val="32"/>
          <w:szCs w:val="32"/>
          <w:highlight w:val="none"/>
        </w:rPr>
        <w:t>头以上，肉牛存栏</w:t>
      </w:r>
      <w:r>
        <w:rPr>
          <w:rFonts w:hint="eastAsia" w:ascii="Times New Roman" w:hAnsi="Times New Roman" w:eastAsia="仿宋_GB2312" w:cs="Times New Roman"/>
          <w:sz w:val="32"/>
          <w:szCs w:val="32"/>
          <w:highlight w:val="none"/>
          <w:lang w:val="en-US"/>
        </w:rPr>
        <w:t>20</w:t>
      </w:r>
      <w:r>
        <w:rPr>
          <w:rFonts w:hint="eastAsia" w:ascii="Times New Roman" w:hAnsi="Times New Roman" w:eastAsia="仿宋_GB2312" w:cs="Times New Roman"/>
          <w:sz w:val="32"/>
          <w:szCs w:val="32"/>
          <w:highlight w:val="none"/>
        </w:rPr>
        <w:t>头以上，奶牛存栏</w:t>
      </w:r>
      <w:r>
        <w:rPr>
          <w:rFonts w:hint="eastAsia" w:ascii="Times New Roman" w:hAnsi="Times New Roman" w:eastAsia="仿宋_GB2312" w:cs="Times New Roman"/>
          <w:sz w:val="32"/>
          <w:szCs w:val="32"/>
          <w:highlight w:val="none"/>
          <w:lang w:val="en-US"/>
        </w:rPr>
        <w:t>10</w:t>
      </w:r>
      <w:r>
        <w:rPr>
          <w:rFonts w:hint="eastAsia" w:ascii="Times New Roman" w:hAnsi="Times New Roman" w:eastAsia="仿宋_GB2312" w:cs="Times New Roman"/>
          <w:sz w:val="32"/>
          <w:szCs w:val="32"/>
          <w:highlight w:val="none"/>
        </w:rPr>
        <w:t>头以上，肉禽（包括鸡、鹅、鸭）年出栏</w:t>
      </w:r>
      <w:r>
        <w:rPr>
          <w:rFonts w:hint="eastAsia" w:ascii="Times New Roman" w:hAnsi="Times New Roman" w:eastAsia="仿宋_GB2312" w:cs="Times New Roman"/>
          <w:sz w:val="32"/>
          <w:szCs w:val="32"/>
          <w:highlight w:val="none"/>
          <w:lang w:val="en-US"/>
        </w:rPr>
        <w:t>5000</w:t>
      </w:r>
      <w:r>
        <w:rPr>
          <w:rFonts w:hint="eastAsia" w:ascii="Times New Roman" w:hAnsi="Times New Roman" w:eastAsia="仿宋_GB2312" w:cs="Times New Roman"/>
          <w:sz w:val="32"/>
          <w:szCs w:val="32"/>
          <w:highlight w:val="none"/>
        </w:rPr>
        <w:t>只以上，蛋禽年存栏</w:t>
      </w:r>
      <w:r>
        <w:rPr>
          <w:rFonts w:hint="eastAsia" w:ascii="Times New Roman" w:hAnsi="Times New Roman" w:eastAsia="仿宋_GB2312" w:cs="Times New Roman"/>
          <w:sz w:val="32"/>
          <w:szCs w:val="32"/>
          <w:highlight w:val="none"/>
          <w:lang w:val="en-US"/>
        </w:rPr>
        <w:t>2500</w:t>
      </w:r>
      <w:r>
        <w:rPr>
          <w:rFonts w:hint="eastAsia" w:ascii="Times New Roman" w:hAnsi="Times New Roman" w:eastAsia="仿宋_GB2312" w:cs="Times New Roman"/>
          <w:sz w:val="32"/>
          <w:szCs w:val="32"/>
          <w:highlight w:val="none"/>
        </w:rPr>
        <w:t>只以上；水产养殖为主的，养殖面积达到</w:t>
      </w:r>
      <w:r>
        <w:rPr>
          <w:rFonts w:hint="eastAsia" w:ascii="Times New Roman" w:hAnsi="Times New Roman" w:eastAsia="仿宋_GB2312" w:cs="Times New Roman"/>
          <w:sz w:val="32"/>
          <w:szCs w:val="32"/>
          <w:highlight w:val="none"/>
          <w:lang w:val="en-US"/>
        </w:rPr>
        <w:t>20</w:t>
      </w:r>
      <w:r>
        <w:rPr>
          <w:rFonts w:hint="eastAsia" w:ascii="Times New Roman" w:hAnsi="Times New Roman" w:eastAsia="仿宋_GB2312" w:cs="Times New Roman"/>
          <w:sz w:val="32"/>
          <w:szCs w:val="32"/>
          <w:highlight w:val="none"/>
        </w:rPr>
        <w:t>亩以上。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从事特色种养殖业的或其他种养结合等多种经营的，年产值达到</w:t>
      </w:r>
      <w:r>
        <w:rPr>
          <w:rFonts w:hint="eastAsia" w:ascii="Times New Roman" w:hAnsi="Times New Roman" w:eastAsia="仿宋_GB2312" w:cs="Times New Roman"/>
          <w:sz w:val="32"/>
          <w:szCs w:val="32"/>
          <w:highlight w:val="none"/>
          <w:lang w:val="en-US"/>
        </w:rPr>
        <w:t>30</w:t>
      </w:r>
      <w:r>
        <w:rPr>
          <w:rFonts w:hint="eastAsia" w:ascii="Times New Roman" w:hAnsi="Times New Roman" w:eastAsia="仿宋_GB2312" w:cs="Times New Roman"/>
          <w:sz w:val="32"/>
          <w:szCs w:val="32"/>
          <w:highlight w:val="none"/>
        </w:rPr>
        <w:t>万元以上。家庭农场经营面积一般不超过300亩。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（五）家庭农场从事的种养行为需符合有关法律法规和政策规定，经营的产业符合当地经济</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农业发展</w:t>
      </w:r>
      <w:r>
        <w:rPr>
          <w:rFonts w:hint="eastAsia" w:ascii="Times New Roman" w:hAnsi="Times New Roman" w:eastAsia="仿宋_GB2312" w:cs="Times New Roman"/>
          <w:sz w:val="32"/>
          <w:szCs w:val="32"/>
          <w:highlight w:val="none"/>
          <w:lang w:eastAsia="zh-CN"/>
        </w:rPr>
        <w:t>和生态环保</w:t>
      </w:r>
      <w:r>
        <w:rPr>
          <w:rFonts w:hint="eastAsia" w:ascii="Times New Roman" w:hAnsi="Times New Roman" w:eastAsia="仿宋_GB2312" w:cs="Times New Roman"/>
          <w:sz w:val="32"/>
          <w:szCs w:val="32"/>
          <w:highlight w:val="none"/>
        </w:rPr>
        <w:t>规划。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（六）家庭农场经营的土地和生产设施必须取得合法手续，承包、租赁或流转的土地年限不得少于5年，且权属无争议；具有较完整的财务收支记录。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（七）家庭农场经营者必须积极配合各级农业农村行政主管部门开展土地肥力、污染、农产品质量等检测检查工作。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黑体" w:cs="Times New Roman"/>
          <w:sz w:val="32"/>
          <w:szCs w:val="32"/>
          <w:highlight w:val="none"/>
          <w:lang w:eastAsia="zh-CN"/>
        </w:rPr>
      </w:pPr>
      <w:r>
        <w:rPr>
          <w:rFonts w:hint="eastAsia" w:ascii="黑体" w:hAnsi="黑体" w:eastAsia="黑体" w:cs="Times New Roman"/>
          <w:sz w:val="32"/>
          <w:szCs w:val="32"/>
          <w:highlight w:val="none"/>
        </w:rPr>
        <w:t>第</w:t>
      </w:r>
      <w:r>
        <w:rPr>
          <w:rFonts w:hint="eastAsia" w:ascii="黑体" w:hAnsi="黑体" w:eastAsia="黑体" w:cs="Times New Roman"/>
          <w:sz w:val="32"/>
          <w:szCs w:val="32"/>
          <w:highlight w:val="none"/>
          <w:lang w:eastAsia="zh-CN"/>
        </w:rPr>
        <w:t>三</w:t>
      </w:r>
      <w:r>
        <w:rPr>
          <w:rFonts w:hint="eastAsia" w:ascii="黑体" w:hAnsi="黑体" w:eastAsia="黑体" w:cs="Times New Roman"/>
          <w:sz w:val="32"/>
          <w:szCs w:val="32"/>
          <w:highlight w:val="none"/>
        </w:rPr>
        <w:t>章  家庭农场认定</w:t>
      </w:r>
      <w:r>
        <w:rPr>
          <w:rFonts w:hint="eastAsia" w:ascii="黑体" w:hAnsi="黑体" w:eastAsia="黑体" w:cs="Times New Roman"/>
          <w:sz w:val="32"/>
          <w:szCs w:val="32"/>
          <w:highlight w:val="none"/>
          <w:lang w:eastAsia="zh-CN"/>
        </w:rPr>
        <w:t>程序</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b/>
          <w:bCs/>
          <w:sz w:val="32"/>
          <w:szCs w:val="32"/>
          <w:highlight w:val="none"/>
          <w:lang w:eastAsia="zh-CN"/>
        </w:rPr>
        <w:t>第</w:t>
      </w:r>
      <w:r>
        <w:rPr>
          <w:rFonts w:hint="eastAsia" w:ascii="Times New Roman" w:hAnsi="Times New Roman" w:eastAsia="仿宋_GB2312" w:cs="Times New Roman"/>
          <w:b/>
          <w:bCs/>
          <w:sz w:val="32"/>
          <w:szCs w:val="32"/>
          <w:highlight w:val="none"/>
          <w:lang w:val="en-US" w:eastAsia="zh-CN"/>
        </w:rPr>
        <w:t>六</w:t>
      </w:r>
      <w:r>
        <w:rPr>
          <w:rFonts w:hint="eastAsia" w:ascii="Times New Roman" w:hAnsi="Times New Roman" w:eastAsia="仿宋_GB2312" w:cs="Times New Roman"/>
          <w:b/>
          <w:bCs/>
          <w:sz w:val="32"/>
          <w:szCs w:val="32"/>
          <w:highlight w:val="none"/>
          <w:lang w:eastAsia="zh-CN"/>
        </w:rPr>
        <w:t>条</w:t>
      </w:r>
      <w:r>
        <w:rPr>
          <w:rFonts w:hint="eastAsia" w:ascii="Times New Roman" w:hAnsi="Times New Roman" w:eastAsia="仿宋_GB2312" w:cs="Times New Roman"/>
          <w:b/>
          <w:bCs/>
          <w:sz w:val="32"/>
          <w:szCs w:val="32"/>
          <w:highlight w:val="none"/>
          <w:lang w:val="en-US" w:eastAsia="zh-CN"/>
        </w:rPr>
        <w:t xml:space="preserve"> </w:t>
      </w:r>
      <w:r>
        <w:rPr>
          <w:rFonts w:hint="eastAsia" w:ascii="Times New Roman" w:hAnsi="Times New Roman" w:eastAsia="仿宋_GB2312" w:cs="Times New Roman"/>
          <w:sz w:val="32"/>
          <w:szCs w:val="32"/>
          <w:highlight w:val="none"/>
          <w:lang w:val="en-US" w:eastAsia="zh-CN"/>
        </w:rPr>
        <w:t xml:space="preserve"> 家庭农场由区农业农村局负责认定，并按以下程序进行：</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lang w:val="en-US" w:eastAsia="zh-CN"/>
        </w:rPr>
        <w:t>（一）申报。</w:t>
      </w:r>
      <w:r>
        <w:rPr>
          <w:rFonts w:hint="eastAsia" w:ascii="Times New Roman" w:hAnsi="Times New Roman" w:eastAsia="仿宋_GB2312" w:cs="Times New Roman"/>
          <w:sz w:val="32"/>
          <w:szCs w:val="32"/>
          <w:highlight w:val="none"/>
          <w:lang w:val="en-US" w:eastAsia="zh-CN"/>
        </w:rPr>
        <w:t>家庭农场经营者需</w:t>
      </w:r>
      <w:r>
        <w:rPr>
          <w:rFonts w:hint="eastAsia" w:ascii="Times New Roman" w:hAnsi="Times New Roman" w:eastAsia="仿宋_GB2312" w:cs="Times New Roman"/>
          <w:sz w:val="32"/>
          <w:szCs w:val="32"/>
          <w:highlight w:val="none"/>
        </w:rPr>
        <w:t>填写《</w:t>
      </w:r>
      <w:r>
        <w:rPr>
          <w:rFonts w:hint="eastAsia" w:ascii="Times New Roman" w:hAnsi="Times New Roman" w:eastAsia="仿宋_GB2312" w:cs="Times New Roman"/>
          <w:sz w:val="32"/>
          <w:szCs w:val="32"/>
          <w:highlight w:val="none"/>
          <w:lang w:eastAsia="zh-CN"/>
        </w:rPr>
        <w:t>龙湖区</w:t>
      </w:r>
      <w:r>
        <w:rPr>
          <w:rFonts w:hint="eastAsia" w:ascii="Times New Roman" w:hAnsi="Times New Roman" w:eastAsia="仿宋_GB2312" w:cs="Times New Roman"/>
          <w:sz w:val="32"/>
          <w:szCs w:val="32"/>
          <w:highlight w:val="none"/>
        </w:rPr>
        <w:t>家庭农场</w:t>
      </w:r>
      <w:r>
        <w:rPr>
          <w:rFonts w:hint="eastAsia" w:ascii="Times New Roman" w:hAnsi="Times New Roman" w:eastAsia="仿宋_GB2312" w:cs="Times New Roman"/>
          <w:sz w:val="32"/>
          <w:szCs w:val="32"/>
          <w:highlight w:val="none"/>
          <w:lang w:eastAsia="zh-CN"/>
        </w:rPr>
        <w:t>认定</w:t>
      </w:r>
      <w:r>
        <w:rPr>
          <w:rFonts w:hint="eastAsia" w:ascii="Times New Roman" w:hAnsi="Times New Roman" w:eastAsia="仿宋_GB2312" w:cs="Times New Roman"/>
          <w:sz w:val="32"/>
          <w:szCs w:val="32"/>
          <w:highlight w:val="none"/>
        </w:rPr>
        <w:t>申请表》</w:t>
      </w:r>
      <w:r>
        <w:rPr>
          <w:rFonts w:hint="eastAsia" w:ascii="Times New Roman" w:hAnsi="Times New Roman" w:eastAsia="仿宋_GB2312" w:cs="Times New Roman"/>
          <w:sz w:val="32"/>
          <w:szCs w:val="32"/>
          <w:highlight w:val="none"/>
          <w:lang w:eastAsia="zh-CN"/>
        </w:rPr>
        <w:t>（附件</w:t>
      </w: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向所在地的街道办事处</w:t>
      </w:r>
      <w:r>
        <w:rPr>
          <w:rFonts w:hint="eastAsia" w:ascii="Times New Roman" w:hAnsi="Times New Roman" w:eastAsia="仿宋_GB2312" w:cs="Times New Roman"/>
          <w:sz w:val="32"/>
          <w:szCs w:val="32"/>
          <w:highlight w:val="none"/>
        </w:rPr>
        <w:t>提交书面</w:t>
      </w:r>
      <w:r>
        <w:rPr>
          <w:rFonts w:hint="eastAsia" w:ascii="Times New Roman" w:hAnsi="Times New Roman" w:eastAsia="仿宋_GB2312" w:cs="Times New Roman"/>
          <w:sz w:val="32"/>
          <w:szCs w:val="32"/>
          <w:highlight w:val="none"/>
          <w:lang w:val="en-US" w:eastAsia="zh-CN"/>
        </w:rPr>
        <w:t>申请</w:t>
      </w:r>
      <w:r>
        <w:rPr>
          <w:rFonts w:hint="eastAsia" w:ascii="Times New Roman" w:hAnsi="Times New Roman" w:eastAsia="仿宋_GB2312" w:cs="Times New Roman"/>
          <w:sz w:val="32"/>
          <w:szCs w:val="32"/>
          <w:highlight w:val="none"/>
        </w:rPr>
        <w:t>材料</w:t>
      </w:r>
      <w:r>
        <w:rPr>
          <w:rFonts w:hint="eastAsia" w:ascii="Times New Roman" w:hAnsi="Times New Roman" w:eastAsia="仿宋_GB2312" w:cs="Times New Roman"/>
          <w:sz w:val="32"/>
          <w:szCs w:val="32"/>
          <w:highlight w:val="none"/>
          <w:lang w:val="en-US" w:eastAsia="zh-CN"/>
        </w:rPr>
        <w:t>。认定</w:t>
      </w:r>
      <w:r>
        <w:rPr>
          <w:rFonts w:hint="eastAsia" w:ascii="Times New Roman" w:hAnsi="Times New Roman" w:eastAsia="仿宋_GB2312" w:cs="Times New Roman"/>
          <w:sz w:val="32"/>
          <w:szCs w:val="32"/>
          <w:highlight w:val="none"/>
        </w:rPr>
        <w:t>申请材料如下（一式三份）：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rPr>
        <w:t>．农场负责人及家庭成员户口本和身份证复印件。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．本办法第</w:t>
      </w:r>
      <w:r>
        <w:rPr>
          <w:rFonts w:hint="eastAsia" w:ascii="Times New Roman" w:hAnsi="Times New Roman" w:eastAsia="仿宋_GB2312" w:cs="Times New Roman"/>
          <w:sz w:val="32"/>
          <w:szCs w:val="32"/>
          <w:highlight w:val="none"/>
          <w:lang w:val="en-US" w:eastAsia="zh-CN"/>
        </w:rPr>
        <w:t>五</w:t>
      </w:r>
      <w:r>
        <w:rPr>
          <w:rFonts w:hint="eastAsia" w:ascii="Times New Roman" w:hAnsi="Times New Roman" w:eastAsia="仿宋_GB2312" w:cs="Times New Roman"/>
          <w:sz w:val="32"/>
          <w:szCs w:val="32"/>
          <w:highlight w:val="none"/>
        </w:rPr>
        <w:t>条</w:t>
      </w:r>
      <w:r>
        <w:rPr>
          <w:rFonts w:hint="eastAsia" w:ascii="Times New Roman" w:hAnsi="Times New Roman" w:eastAsia="仿宋_GB2312" w:cs="Times New Roman"/>
          <w:sz w:val="32"/>
          <w:szCs w:val="32"/>
          <w:highlight w:val="none"/>
          <w:lang w:val="en-US" w:eastAsia="zh-CN"/>
        </w:rPr>
        <w:t>及认定申请表</w:t>
      </w:r>
      <w:r>
        <w:rPr>
          <w:rFonts w:hint="eastAsia" w:ascii="Times New Roman" w:hAnsi="Times New Roman" w:eastAsia="仿宋_GB2312" w:cs="Times New Roman"/>
          <w:sz w:val="32"/>
          <w:szCs w:val="32"/>
          <w:highlight w:val="none"/>
        </w:rPr>
        <w:t>要求的相关佐证材料。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．有效土地承包合同或租赁合同复印件。</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sz w:val="32"/>
          <w:szCs w:val="32"/>
          <w:highlight w:val="none"/>
          <w:lang w:eastAsia="zh-CN"/>
        </w:rPr>
      </w:pPr>
      <w:r>
        <w:rPr>
          <w:rFonts w:hint="eastAsia" w:ascii="Times New Roman" w:hAnsi="Times New Roman" w:eastAsia="仿宋_GB2312" w:cs="Times New Roman"/>
          <w:b/>
          <w:bCs/>
          <w:sz w:val="32"/>
          <w:szCs w:val="32"/>
          <w:highlight w:val="none"/>
          <w:lang w:eastAsia="zh-CN"/>
        </w:rPr>
        <w:t>（二）初审。</w:t>
      </w:r>
      <w:r>
        <w:rPr>
          <w:rFonts w:hint="eastAsia" w:ascii="Times New Roman" w:hAnsi="Times New Roman" w:eastAsia="仿宋_GB2312" w:cs="Times New Roman"/>
          <w:b w:val="0"/>
          <w:sz w:val="32"/>
          <w:szCs w:val="32"/>
          <w:highlight w:val="none"/>
          <w:lang w:val="en-US" w:eastAsia="zh-CN"/>
        </w:rPr>
        <w:t>各</w:t>
      </w:r>
      <w:r>
        <w:rPr>
          <w:rFonts w:hint="eastAsia" w:ascii="Times New Roman" w:hAnsi="Times New Roman" w:eastAsia="仿宋_GB2312" w:cs="Times New Roman"/>
          <w:b w:val="0"/>
          <w:sz w:val="32"/>
          <w:szCs w:val="32"/>
          <w:highlight w:val="none"/>
          <w:lang w:eastAsia="zh-CN"/>
        </w:rPr>
        <w:t>街道负责对家庭农场申报材料真实性、完整性进行审查和核实，并提出初审意见，初审通过的名单及申报材料报区农业农村局。</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b w:val="0"/>
          <w:sz w:val="32"/>
          <w:szCs w:val="32"/>
          <w:highlight w:val="none"/>
          <w:lang w:eastAsia="zh-CN"/>
        </w:rPr>
      </w:pPr>
      <w:r>
        <w:rPr>
          <w:rFonts w:hint="eastAsia" w:ascii="Times New Roman" w:hAnsi="Times New Roman" w:eastAsia="仿宋_GB2312" w:cs="Times New Roman"/>
          <w:b/>
          <w:bCs/>
          <w:sz w:val="32"/>
          <w:szCs w:val="32"/>
          <w:highlight w:val="none"/>
          <w:lang w:eastAsia="zh-CN"/>
        </w:rPr>
        <w:t>（三）认定。</w:t>
      </w:r>
      <w:r>
        <w:rPr>
          <w:rFonts w:hint="eastAsia" w:ascii="Times New Roman" w:hAnsi="Times New Roman" w:eastAsia="仿宋_GB2312" w:cs="Times New Roman"/>
          <w:sz w:val="32"/>
          <w:szCs w:val="32"/>
          <w:highlight w:val="none"/>
          <w:lang w:val="en-US" w:eastAsia="zh-CN"/>
        </w:rPr>
        <w:t>区农业农村局受理申报材料后组织现场核查，符合条件的予以认定、登记。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highlight w:val="none"/>
        </w:rPr>
      </w:pPr>
      <w:r>
        <w:rPr>
          <w:rFonts w:hint="eastAsia" w:ascii="黑体" w:hAnsi="黑体" w:eastAsia="黑体" w:cs="Times New Roman"/>
          <w:sz w:val="32"/>
          <w:szCs w:val="32"/>
          <w:highlight w:val="none"/>
        </w:rPr>
        <w:t>第</w:t>
      </w:r>
      <w:r>
        <w:rPr>
          <w:rFonts w:hint="eastAsia" w:ascii="黑体" w:hAnsi="黑体" w:eastAsia="黑体" w:cs="Times New Roman"/>
          <w:sz w:val="32"/>
          <w:szCs w:val="32"/>
          <w:highlight w:val="none"/>
          <w:lang w:eastAsia="zh-CN"/>
        </w:rPr>
        <w:t>四</w:t>
      </w:r>
      <w:r>
        <w:rPr>
          <w:rFonts w:hint="eastAsia" w:ascii="黑体" w:hAnsi="黑体" w:eastAsia="黑体" w:cs="Times New Roman"/>
          <w:sz w:val="32"/>
          <w:szCs w:val="32"/>
          <w:highlight w:val="none"/>
        </w:rPr>
        <w:t>章  家庭农场监测和管理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val="en-US" w:eastAsia="zh-CN"/>
        </w:rPr>
        <w:t>七</w:t>
      </w:r>
      <w:r>
        <w:rPr>
          <w:rFonts w:hint="eastAsia" w:ascii="Times New Roman" w:hAnsi="Times New Roman" w:eastAsia="仿宋_GB2312" w:cs="Times New Roman"/>
          <w:b/>
          <w:sz w:val="32"/>
          <w:szCs w:val="32"/>
          <w:highlight w:val="none"/>
        </w:rPr>
        <w:t>条</w:t>
      </w:r>
      <w:r>
        <w:rPr>
          <w:rFonts w:hint="eastAsia" w:ascii="Times New Roman" w:hAnsi="Times New Roman" w:eastAsia="仿宋_GB2312" w:cs="Times New Roman"/>
          <w:sz w:val="32"/>
          <w:szCs w:val="32"/>
          <w:highlight w:val="none"/>
        </w:rPr>
        <w:t xml:space="preserve">  对家庭农场实行专项监测与日常管理相结合的监测管理制度。</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val="en-US" w:eastAsia="zh-CN"/>
        </w:rPr>
        <w:t>八</w:t>
      </w:r>
      <w:r>
        <w:rPr>
          <w:rFonts w:hint="eastAsia" w:ascii="Times New Roman" w:hAnsi="Times New Roman" w:eastAsia="仿宋_GB2312" w:cs="Times New Roman"/>
          <w:b/>
          <w:sz w:val="32"/>
          <w:szCs w:val="32"/>
          <w:highlight w:val="none"/>
        </w:rPr>
        <w:t>条</w:t>
      </w:r>
      <w:r>
        <w:rPr>
          <w:rFonts w:hint="eastAsia" w:ascii="Times New Roman" w:hAnsi="Times New Roman" w:eastAsia="仿宋_GB2312" w:cs="Times New Roman"/>
          <w:sz w:val="32"/>
          <w:szCs w:val="32"/>
          <w:highlight w:val="none"/>
        </w:rPr>
        <w:t xml:space="preserve">  家庭农场经</w:t>
      </w:r>
      <w:r>
        <w:rPr>
          <w:rFonts w:hint="eastAsia" w:ascii="Times New Roman" w:hAnsi="Times New Roman" w:eastAsia="仿宋_GB2312" w:cs="Times New Roman"/>
          <w:sz w:val="32"/>
          <w:szCs w:val="32"/>
          <w:highlight w:val="none"/>
          <w:lang w:eastAsia="zh-CN"/>
        </w:rPr>
        <w:t>认定</w:t>
      </w:r>
      <w:r>
        <w:rPr>
          <w:rFonts w:hint="eastAsia" w:ascii="Times New Roman" w:hAnsi="Times New Roman" w:eastAsia="仿宋_GB2312" w:cs="Times New Roman"/>
          <w:sz w:val="32"/>
          <w:szCs w:val="32"/>
          <w:highlight w:val="none"/>
        </w:rPr>
        <w:t xml:space="preserve">后，每满两年实行一次专项监测。专项监测步骤为：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1．在监测年份的</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月底前，家庭农场填写《</w:t>
      </w:r>
      <w:r>
        <w:rPr>
          <w:rFonts w:hint="eastAsia" w:ascii="Times New Roman" w:hAnsi="Times New Roman" w:eastAsia="仿宋_GB2312" w:cs="Times New Roman"/>
          <w:sz w:val="32"/>
          <w:szCs w:val="32"/>
          <w:highlight w:val="none"/>
          <w:lang w:eastAsia="zh-CN"/>
        </w:rPr>
        <w:t>龙湖区</w:t>
      </w:r>
      <w:r>
        <w:rPr>
          <w:rFonts w:hint="eastAsia" w:ascii="Times New Roman" w:hAnsi="Times New Roman" w:eastAsia="仿宋_GB2312" w:cs="Times New Roman"/>
          <w:sz w:val="32"/>
          <w:szCs w:val="32"/>
          <w:highlight w:val="none"/>
        </w:rPr>
        <w:t>家庭农场发展情况监测表》（附件</w:t>
      </w:r>
      <w:r>
        <w:rPr>
          <w:rFonts w:hint="eastAsia" w:ascii="Times New Roman" w:hAnsi="Times New Roman" w:eastAsia="仿宋_GB2312" w:cs="Times New Roman"/>
          <w:sz w:val="32"/>
          <w:szCs w:val="32"/>
          <w:highlight w:val="none"/>
          <w:lang w:val="en-US" w:eastAsia="zh-CN"/>
        </w:rPr>
        <w:t>2</w:t>
      </w:r>
      <w:r>
        <w:rPr>
          <w:rFonts w:hint="eastAsia" w:ascii="Times New Roman" w:hAnsi="Times New Roman" w:eastAsia="仿宋_GB2312" w:cs="Times New Roman"/>
          <w:sz w:val="32"/>
          <w:szCs w:val="32"/>
          <w:highlight w:val="none"/>
        </w:rPr>
        <w:t>），报所在</w:t>
      </w:r>
      <w:r>
        <w:rPr>
          <w:rFonts w:hint="eastAsia" w:ascii="Times New Roman" w:hAnsi="Times New Roman" w:eastAsia="仿宋_GB2312" w:cs="Times New Roman"/>
          <w:sz w:val="32"/>
          <w:szCs w:val="32"/>
          <w:highlight w:val="none"/>
          <w:lang w:eastAsia="zh-CN"/>
        </w:rPr>
        <w:t>街道</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eastAsia="zh-CN"/>
        </w:rPr>
        <w:t>街道</w:t>
      </w:r>
      <w:r>
        <w:rPr>
          <w:rFonts w:hint="eastAsia" w:ascii="Times New Roman" w:hAnsi="Times New Roman" w:eastAsia="仿宋_GB2312" w:cs="Times New Roman"/>
          <w:sz w:val="32"/>
          <w:szCs w:val="32"/>
          <w:highlight w:val="none"/>
        </w:rPr>
        <w:t>对家庭农场所报材料进行核实，提出监测意见，并于</w:t>
      </w:r>
      <w:r>
        <w:rPr>
          <w:rFonts w:hint="eastAsia" w:ascii="Times New Roman" w:hAnsi="Times New Roman" w:eastAsia="仿宋_GB2312" w:cs="Times New Roman"/>
          <w:sz w:val="32"/>
          <w:szCs w:val="32"/>
          <w:highlight w:val="none"/>
          <w:lang w:val="en-US" w:eastAsia="zh-CN"/>
        </w:rPr>
        <w:t>3</w:t>
      </w:r>
      <w:r>
        <w:rPr>
          <w:rFonts w:hint="eastAsia" w:ascii="Times New Roman" w:hAnsi="Times New Roman" w:eastAsia="仿宋_GB2312" w:cs="Times New Roman"/>
          <w:sz w:val="32"/>
          <w:szCs w:val="32"/>
          <w:highlight w:val="none"/>
        </w:rPr>
        <w:t>月底前报</w:t>
      </w:r>
      <w:r>
        <w:rPr>
          <w:rFonts w:hint="eastAsia" w:ascii="Times New Roman" w:hAnsi="Times New Roman" w:eastAsia="仿宋_GB2312" w:cs="Times New Roman"/>
          <w:sz w:val="32"/>
          <w:szCs w:val="32"/>
          <w:highlight w:val="none"/>
          <w:lang w:eastAsia="zh-CN"/>
        </w:rPr>
        <w:t>区</w:t>
      </w:r>
      <w:r>
        <w:rPr>
          <w:rFonts w:hint="eastAsia" w:ascii="Times New Roman" w:hAnsi="Times New Roman" w:eastAsia="仿宋_GB2312" w:cs="Times New Roman"/>
          <w:sz w:val="32"/>
          <w:szCs w:val="32"/>
          <w:highlight w:val="none"/>
        </w:rPr>
        <w:t>农业农村局。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3．</w:t>
      </w:r>
      <w:r>
        <w:rPr>
          <w:rFonts w:hint="eastAsia" w:ascii="Times New Roman" w:hAnsi="Times New Roman" w:eastAsia="仿宋_GB2312" w:cs="Times New Roman"/>
          <w:sz w:val="32"/>
          <w:szCs w:val="32"/>
          <w:highlight w:val="none"/>
          <w:lang w:eastAsia="zh-CN"/>
        </w:rPr>
        <w:t>区</w:t>
      </w:r>
      <w:r>
        <w:rPr>
          <w:rFonts w:hint="eastAsia" w:ascii="Times New Roman" w:hAnsi="Times New Roman" w:eastAsia="仿宋_GB2312" w:cs="Times New Roman"/>
          <w:sz w:val="32"/>
          <w:szCs w:val="32"/>
          <w:highlight w:val="none"/>
        </w:rPr>
        <w:t>农业农村局对各</w:t>
      </w:r>
      <w:r>
        <w:rPr>
          <w:rFonts w:hint="eastAsia" w:ascii="Times New Roman" w:hAnsi="Times New Roman" w:eastAsia="仿宋_GB2312" w:cs="Times New Roman"/>
          <w:sz w:val="32"/>
          <w:szCs w:val="32"/>
          <w:highlight w:val="none"/>
          <w:lang w:eastAsia="zh-CN"/>
        </w:rPr>
        <w:t>街道</w:t>
      </w:r>
      <w:r>
        <w:rPr>
          <w:rFonts w:hint="eastAsia" w:ascii="Times New Roman" w:hAnsi="Times New Roman" w:eastAsia="仿宋_GB2312" w:cs="Times New Roman"/>
          <w:sz w:val="32"/>
          <w:szCs w:val="32"/>
          <w:highlight w:val="none"/>
        </w:rPr>
        <w:t>监测结果进行审查，</w:t>
      </w:r>
      <w:r>
        <w:rPr>
          <w:rFonts w:hint="eastAsia" w:ascii="Times New Roman" w:hAnsi="Times New Roman" w:eastAsia="仿宋_GB2312" w:cs="Times New Roman"/>
          <w:sz w:val="32"/>
          <w:szCs w:val="32"/>
          <w:highlight w:val="none"/>
          <w:lang w:eastAsia="zh-CN"/>
        </w:rPr>
        <w:t>对</w:t>
      </w:r>
      <w:r>
        <w:rPr>
          <w:rFonts w:hint="eastAsia" w:ascii="Times New Roman" w:hAnsi="Times New Roman" w:eastAsia="仿宋_GB2312" w:cs="Times New Roman"/>
          <w:sz w:val="32"/>
          <w:szCs w:val="32"/>
          <w:highlight w:val="none"/>
        </w:rPr>
        <w:t>监测合格</w:t>
      </w:r>
      <w:r>
        <w:rPr>
          <w:rFonts w:hint="eastAsia" w:ascii="Times New Roman" w:hAnsi="Times New Roman" w:eastAsia="仿宋_GB2312" w:cs="Times New Roman"/>
          <w:sz w:val="32"/>
          <w:szCs w:val="32"/>
          <w:highlight w:val="none"/>
          <w:lang w:eastAsia="zh-CN"/>
        </w:rPr>
        <w:t>的</w:t>
      </w:r>
      <w:r>
        <w:rPr>
          <w:rFonts w:hint="eastAsia" w:ascii="Times New Roman" w:hAnsi="Times New Roman" w:eastAsia="仿宋_GB2312" w:cs="Times New Roman"/>
          <w:sz w:val="32"/>
          <w:szCs w:val="32"/>
          <w:highlight w:val="none"/>
        </w:rPr>
        <w:t>，继续保留家庭农场</w:t>
      </w:r>
      <w:r>
        <w:rPr>
          <w:rFonts w:hint="eastAsia" w:ascii="Times New Roman" w:hAnsi="Times New Roman" w:eastAsia="仿宋_GB2312" w:cs="Times New Roman"/>
          <w:sz w:val="32"/>
          <w:szCs w:val="32"/>
          <w:highlight w:val="none"/>
          <w:lang w:eastAsia="zh-CN"/>
        </w:rPr>
        <w:t>资格；</w:t>
      </w:r>
      <w:r>
        <w:rPr>
          <w:rFonts w:hint="eastAsia" w:ascii="Times New Roman" w:hAnsi="Times New Roman" w:eastAsia="仿宋_GB2312" w:cs="Times New Roman"/>
          <w:sz w:val="32"/>
          <w:szCs w:val="32"/>
          <w:highlight w:val="none"/>
        </w:rPr>
        <w:t>监测不合格的，取消家庭农场资格。</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w:t>
      </w:r>
      <w:r>
        <w:rPr>
          <w:rFonts w:hint="eastAsia" w:ascii="Times New Roman" w:hAnsi="Times New Roman" w:eastAsia="仿宋_GB2312" w:cs="Times New Roman"/>
          <w:b/>
          <w:sz w:val="32"/>
          <w:szCs w:val="32"/>
          <w:highlight w:val="none"/>
          <w:lang w:val="en-US" w:eastAsia="zh-CN"/>
        </w:rPr>
        <w:t>九</w:t>
      </w:r>
      <w:r>
        <w:rPr>
          <w:rFonts w:hint="eastAsia" w:ascii="Times New Roman" w:hAnsi="Times New Roman" w:eastAsia="仿宋_GB2312" w:cs="Times New Roman"/>
          <w:b/>
          <w:sz w:val="32"/>
          <w:szCs w:val="32"/>
          <w:highlight w:val="none"/>
        </w:rPr>
        <w:t>条</w:t>
      </w:r>
      <w:r>
        <w:rPr>
          <w:rFonts w:hint="eastAsia" w:ascii="Times New Roman" w:hAnsi="Times New Roman" w:eastAsia="仿宋_GB2312" w:cs="Times New Roman"/>
          <w:sz w:val="32"/>
          <w:szCs w:val="32"/>
          <w:highlight w:val="none"/>
        </w:rPr>
        <w:t xml:space="preserve">  出现下列情况之一的，视为监测不合格的，取消家庭农场</w:t>
      </w:r>
      <w:r>
        <w:rPr>
          <w:rFonts w:hint="eastAsia" w:ascii="Times New Roman" w:hAnsi="Times New Roman" w:eastAsia="仿宋_GB2312" w:cs="Times New Roman"/>
          <w:sz w:val="32"/>
          <w:szCs w:val="32"/>
          <w:highlight w:val="none"/>
          <w:lang w:eastAsia="zh-CN"/>
        </w:rPr>
        <w:t>资格</w:t>
      </w:r>
      <w:r>
        <w:rPr>
          <w:rFonts w:hint="eastAsia" w:ascii="Times New Roman" w:hAnsi="Times New Roman" w:eastAsia="仿宋_GB2312" w:cs="Times New Roman"/>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（一）因经营不善，资不抵债而破产或被兼并的；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（二）家庭农场停止实质性生产，或生产经营水平明显下降，不具备家庭农场条件的；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（三）拒绝接受监测或者不按规定要求提供监测材料的；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（四）流转土地或承包土地到期没有续签流转合同（协议）或租赁合同的；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（五）发生违反国家产业政策或违法违纪行为的;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（六）发生较大的生产安全、重大农产品质量安全事故的;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lang w:eastAsia="zh-CN"/>
        </w:rPr>
        <w:t>（七）提供虚假材料或存在舞弊行为的。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八</w:t>
      </w:r>
      <w:r>
        <w:rPr>
          <w:rFonts w:hint="eastAsia" w:ascii="Times New Roman" w:hAnsi="Times New Roman" w:eastAsia="仿宋_GB2312" w:cs="Times New Roman"/>
          <w:sz w:val="32"/>
          <w:szCs w:val="32"/>
          <w:highlight w:val="none"/>
        </w:rPr>
        <w:t>）其他不符合条件的。</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第十条</w:t>
      </w:r>
      <w:r>
        <w:rPr>
          <w:rFonts w:hint="eastAsia" w:ascii="Times New Roman" w:hAnsi="Times New Roman" w:eastAsia="仿宋_GB2312" w:cs="Times New Roman"/>
          <w:sz w:val="32"/>
          <w:szCs w:val="32"/>
          <w:highlight w:val="none"/>
        </w:rPr>
        <w:t xml:space="preserve">  日常管理。</w:t>
      </w:r>
      <w:r>
        <w:rPr>
          <w:rFonts w:hint="eastAsia" w:ascii="Times New Roman" w:hAnsi="Times New Roman" w:eastAsia="仿宋_GB2312" w:cs="Times New Roman"/>
          <w:sz w:val="32"/>
          <w:szCs w:val="32"/>
          <w:highlight w:val="none"/>
          <w:lang w:val="en-US" w:eastAsia="zh-CN"/>
        </w:rPr>
        <w:t>各</w:t>
      </w:r>
      <w:r>
        <w:rPr>
          <w:rFonts w:hint="eastAsia" w:ascii="Times New Roman" w:hAnsi="Times New Roman" w:eastAsia="仿宋_GB2312" w:cs="Times New Roman"/>
          <w:sz w:val="32"/>
          <w:szCs w:val="32"/>
          <w:highlight w:val="none"/>
          <w:lang w:eastAsia="zh-CN"/>
        </w:rPr>
        <w:t>街道</w:t>
      </w:r>
      <w:r>
        <w:rPr>
          <w:rFonts w:hint="eastAsia" w:ascii="Times New Roman" w:hAnsi="Times New Roman" w:eastAsia="仿宋_GB2312" w:cs="Times New Roman"/>
          <w:sz w:val="32"/>
          <w:szCs w:val="32"/>
          <w:highlight w:val="none"/>
        </w:rPr>
        <w:t>依据职责对辖区内家庭农场生产</w:t>
      </w:r>
      <w:r>
        <w:rPr>
          <w:rFonts w:hint="eastAsia" w:ascii="Times New Roman" w:hAnsi="Times New Roman" w:eastAsia="仿宋_GB2312" w:cs="Times New Roman"/>
          <w:sz w:val="32"/>
          <w:szCs w:val="32"/>
          <w:highlight w:val="none"/>
          <w:lang w:eastAsia="zh-CN"/>
        </w:rPr>
        <w:t>经营</w:t>
      </w:r>
      <w:r>
        <w:rPr>
          <w:rFonts w:hint="eastAsia"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农产品</w:t>
      </w:r>
      <w:r>
        <w:rPr>
          <w:rFonts w:hint="eastAsia" w:ascii="Times New Roman" w:hAnsi="Times New Roman" w:eastAsia="仿宋_GB2312" w:cs="Times New Roman"/>
          <w:sz w:val="32"/>
          <w:szCs w:val="32"/>
          <w:highlight w:val="none"/>
        </w:rPr>
        <w:t>质量安全</w:t>
      </w:r>
      <w:r>
        <w:rPr>
          <w:rFonts w:hint="eastAsia" w:ascii="Times New Roman" w:hAnsi="Times New Roman" w:eastAsia="仿宋_GB2312" w:cs="Times New Roman"/>
          <w:sz w:val="32"/>
          <w:szCs w:val="32"/>
          <w:highlight w:val="none"/>
          <w:lang w:eastAsia="zh-CN"/>
        </w:rPr>
        <w:t>等开展</w:t>
      </w:r>
      <w:r>
        <w:rPr>
          <w:rFonts w:hint="eastAsia" w:ascii="Times New Roman" w:hAnsi="Times New Roman" w:eastAsia="仿宋_GB2312" w:cs="Times New Roman"/>
          <w:sz w:val="32"/>
          <w:szCs w:val="32"/>
          <w:highlight w:val="none"/>
        </w:rPr>
        <w:t>日常管理。</w:t>
      </w:r>
    </w:p>
    <w:p>
      <w:pPr>
        <w:keepNext w:val="0"/>
        <w:keepLines w:val="0"/>
        <w:pageBreakBefore w:val="0"/>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ascii="黑体" w:hAnsi="黑体" w:eastAsia="黑体" w:cs="Times New Roman"/>
          <w:sz w:val="32"/>
          <w:szCs w:val="32"/>
          <w:highlight w:val="none"/>
        </w:rPr>
      </w:pPr>
      <w:r>
        <w:rPr>
          <w:rFonts w:hint="eastAsia" w:ascii="黑体" w:hAnsi="黑体" w:eastAsia="黑体" w:cs="Times New Roman"/>
          <w:sz w:val="32"/>
          <w:szCs w:val="32"/>
          <w:highlight w:val="none"/>
        </w:rPr>
        <w:t>第</w:t>
      </w:r>
      <w:r>
        <w:rPr>
          <w:rFonts w:hint="eastAsia" w:ascii="黑体" w:hAnsi="黑体" w:eastAsia="黑体" w:cs="Times New Roman"/>
          <w:sz w:val="32"/>
          <w:szCs w:val="32"/>
          <w:highlight w:val="none"/>
          <w:lang w:eastAsia="zh-CN"/>
        </w:rPr>
        <w:t>五</w:t>
      </w:r>
      <w:r>
        <w:rPr>
          <w:rFonts w:hint="eastAsia" w:ascii="黑体" w:hAnsi="黑体" w:eastAsia="黑体" w:cs="Times New Roman"/>
          <w:sz w:val="32"/>
          <w:szCs w:val="32"/>
          <w:highlight w:val="none"/>
        </w:rPr>
        <w:t>章  附则</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第十</w:t>
      </w:r>
      <w:r>
        <w:rPr>
          <w:rFonts w:hint="eastAsia" w:ascii="Times New Roman" w:hAnsi="Times New Roman" w:eastAsia="仿宋_GB2312" w:cs="Times New Roman"/>
          <w:b/>
          <w:sz w:val="32"/>
          <w:szCs w:val="32"/>
          <w:highlight w:val="none"/>
          <w:lang w:val="en-US" w:eastAsia="zh-CN"/>
        </w:rPr>
        <w:t>一</w:t>
      </w:r>
      <w:r>
        <w:rPr>
          <w:rFonts w:hint="eastAsia" w:ascii="Times New Roman" w:hAnsi="Times New Roman" w:eastAsia="仿宋_GB2312" w:cs="Times New Roman"/>
          <w:b/>
          <w:sz w:val="32"/>
          <w:szCs w:val="32"/>
          <w:highlight w:val="none"/>
        </w:rPr>
        <w:t xml:space="preserve">条  </w:t>
      </w:r>
      <w:r>
        <w:rPr>
          <w:rFonts w:hint="eastAsia" w:ascii="Times New Roman" w:hAnsi="Times New Roman" w:eastAsia="仿宋_GB2312" w:cs="Times New Roman"/>
          <w:sz w:val="32"/>
          <w:szCs w:val="32"/>
          <w:highlight w:val="none"/>
        </w:rPr>
        <w:t>各</w:t>
      </w:r>
      <w:r>
        <w:rPr>
          <w:rFonts w:hint="eastAsia" w:ascii="Times New Roman" w:hAnsi="Times New Roman" w:eastAsia="仿宋_GB2312" w:cs="Times New Roman"/>
          <w:sz w:val="32"/>
          <w:szCs w:val="32"/>
          <w:highlight w:val="none"/>
          <w:lang w:eastAsia="zh-CN"/>
        </w:rPr>
        <w:t>街道</w:t>
      </w:r>
      <w:r>
        <w:rPr>
          <w:rFonts w:hint="eastAsia" w:ascii="Times New Roman" w:hAnsi="Times New Roman" w:eastAsia="仿宋_GB2312" w:cs="Times New Roman"/>
          <w:sz w:val="32"/>
          <w:szCs w:val="32"/>
          <w:highlight w:val="none"/>
        </w:rPr>
        <w:t>应当结合自身实际，制订相关措施，加强对辖区内家庭农场的</w:t>
      </w:r>
      <w:r>
        <w:rPr>
          <w:rFonts w:hint="eastAsia" w:ascii="Times New Roman" w:hAnsi="Times New Roman" w:eastAsia="仿宋_GB2312" w:cs="Times New Roman"/>
          <w:sz w:val="32"/>
          <w:szCs w:val="32"/>
          <w:highlight w:val="none"/>
          <w:lang w:eastAsia="zh-CN"/>
        </w:rPr>
        <w:t>监测、</w:t>
      </w:r>
      <w:r>
        <w:rPr>
          <w:rFonts w:hint="eastAsia" w:ascii="Times New Roman" w:hAnsi="Times New Roman" w:eastAsia="仿宋_GB2312" w:cs="Times New Roman"/>
          <w:sz w:val="32"/>
          <w:szCs w:val="32"/>
          <w:highlight w:val="none"/>
        </w:rPr>
        <w:t>管理。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b/>
          <w:sz w:val="32"/>
          <w:szCs w:val="32"/>
          <w:highlight w:val="none"/>
        </w:rPr>
        <w:t>第十</w:t>
      </w:r>
      <w:r>
        <w:rPr>
          <w:rFonts w:hint="eastAsia" w:ascii="Times New Roman" w:hAnsi="Times New Roman" w:eastAsia="仿宋_GB2312" w:cs="Times New Roman"/>
          <w:b/>
          <w:sz w:val="32"/>
          <w:szCs w:val="32"/>
          <w:highlight w:val="none"/>
          <w:lang w:val="en-US" w:eastAsia="zh-CN"/>
        </w:rPr>
        <w:t>二</w:t>
      </w:r>
      <w:r>
        <w:rPr>
          <w:rFonts w:hint="eastAsia" w:ascii="Times New Roman" w:hAnsi="Times New Roman" w:eastAsia="仿宋_GB2312" w:cs="Times New Roman"/>
          <w:b/>
          <w:sz w:val="32"/>
          <w:szCs w:val="32"/>
          <w:highlight w:val="none"/>
        </w:rPr>
        <w:t>条</w:t>
      </w:r>
      <w:r>
        <w:rPr>
          <w:rFonts w:hint="eastAsia" w:ascii="Times New Roman" w:hAnsi="Times New Roman" w:eastAsia="仿宋_GB2312" w:cs="Times New Roman"/>
          <w:sz w:val="32"/>
          <w:szCs w:val="32"/>
          <w:highlight w:val="none"/>
        </w:rPr>
        <w:t xml:space="preserve">  本办法由</w:t>
      </w:r>
      <w:r>
        <w:rPr>
          <w:rFonts w:hint="eastAsia" w:ascii="Times New Roman" w:hAnsi="Times New Roman" w:eastAsia="仿宋_GB2312" w:cs="Times New Roman"/>
          <w:sz w:val="32"/>
          <w:szCs w:val="32"/>
          <w:highlight w:val="none"/>
          <w:lang w:eastAsia="zh-CN"/>
        </w:rPr>
        <w:t>区</w:t>
      </w:r>
      <w:r>
        <w:rPr>
          <w:rFonts w:hint="eastAsia" w:ascii="Times New Roman" w:hAnsi="Times New Roman" w:eastAsia="仿宋_GB2312" w:cs="Times New Roman"/>
          <w:sz w:val="32"/>
          <w:szCs w:val="32"/>
          <w:highlight w:val="none"/>
        </w:rPr>
        <w:t>农业农村局负责解释，自</w:t>
      </w:r>
      <w:r>
        <w:rPr>
          <w:rFonts w:hint="eastAsia" w:ascii="Times New Roman" w:hAnsi="Times New Roman" w:eastAsia="仿宋_GB2312" w:cs="Times New Roman"/>
          <w:sz w:val="32"/>
          <w:szCs w:val="32"/>
          <w:highlight w:val="none"/>
          <w:lang w:eastAsia="zh-CN"/>
        </w:rPr>
        <w:t>印发之日</w:t>
      </w:r>
      <w:r>
        <w:rPr>
          <w:rFonts w:hint="eastAsia" w:ascii="Times New Roman" w:hAnsi="Times New Roman" w:eastAsia="仿宋_GB2312" w:cs="Times New Roman"/>
          <w:sz w:val="32"/>
          <w:szCs w:val="32"/>
          <w:highlight w:val="none"/>
        </w:rPr>
        <w:t>起</w:t>
      </w:r>
      <w:r>
        <w:rPr>
          <w:rFonts w:hint="eastAsia" w:ascii="Times New Roman" w:hAnsi="Times New Roman" w:eastAsia="仿宋_GB2312" w:cs="Times New Roman"/>
          <w:sz w:val="32"/>
          <w:szCs w:val="32"/>
          <w:highlight w:val="none"/>
          <w:lang w:val="en-US" w:eastAsia="zh-CN"/>
        </w:rPr>
        <w:t>三十日后</w:t>
      </w:r>
      <w:r>
        <w:rPr>
          <w:rFonts w:hint="eastAsia" w:ascii="Times New Roman" w:hAnsi="Times New Roman" w:eastAsia="仿宋_GB2312" w:cs="Times New Roman"/>
          <w:sz w:val="32"/>
          <w:szCs w:val="32"/>
          <w:highlight w:val="none"/>
        </w:rPr>
        <w:t>施行，有效期至2024年</w:t>
      </w:r>
      <w:r>
        <w:rPr>
          <w:rFonts w:hint="eastAsia" w:ascii="Times New Roman" w:hAnsi="Times New Roman" w:eastAsia="仿宋_GB2312" w:cs="Times New Roman"/>
          <w:sz w:val="32"/>
          <w:szCs w:val="32"/>
          <w:highlight w:val="none"/>
          <w:lang w:val="en-US" w:eastAsia="zh-CN"/>
        </w:rPr>
        <w:t>6</w:t>
      </w:r>
      <w:r>
        <w:rPr>
          <w:rFonts w:hint="eastAsia"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30</w:t>
      </w:r>
      <w:r>
        <w:rPr>
          <w:rFonts w:hint="eastAsia" w:ascii="Times New Roman" w:hAnsi="Times New Roman" w:eastAsia="仿宋_GB2312" w:cs="Times New Roman"/>
          <w:sz w:val="32"/>
          <w:szCs w:val="32"/>
          <w:highlight w:val="none"/>
        </w:rPr>
        <w:t>日止。有效期届满，经评估认为需要继续施行的，根据评估情况重新修订。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附件：1．龙湖区家庭农场认定申请表</w:t>
      </w:r>
    </w:p>
    <w:p>
      <w:pPr>
        <w:keepNext w:val="0"/>
        <w:keepLines w:val="0"/>
        <w:pageBreakBefore w:val="0"/>
        <w:kinsoku/>
        <w:wordWrap/>
        <w:overflowPunct/>
        <w:topLinePunct w:val="0"/>
        <w:autoSpaceDE/>
        <w:autoSpaceDN/>
        <w:bidi w:val="0"/>
        <w:adjustRightInd/>
        <w:snapToGrid/>
        <w:spacing w:line="560" w:lineRule="exact"/>
        <w:ind w:firstLine="0" w:firstLineChars="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rPr>
        <w:t>2．</w:t>
      </w:r>
      <w:r>
        <w:rPr>
          <w:rFonts w:hint="eastAsia" w:ascii="Times New Roman" w:hAnsi="Times New Roman" w:eastAsia="仿宋_GB2312" w:cs="Times New Roman"/>
          <w:sz w:val="32"/>
          <w:szCs w:val="32"/>
          <w:highlight w:val="none"/>
          <w:lang w:eastAsia="zh-CN"/>
        </w:rPr>
        <w:t>龙湖区</w:t>
      </w:r>
      <w:r>
        <w:rPr>
          <w:rFonts w:hint="eastAsia" w:ascii="Times New Roman" w:hAnsi="Times New Roman" w:eastAsia="仿宋_GB2312" w:cs="Times New Roman"/>
          <w:sz w:val="32"/>
          <w:szCs w:val="32"/>
          <w:highlight w:val="none"/>
        </w:rPr>
        <w:t>家庭农场发展情况监测表</w:t>
      </w:r>
    </w:p>
    <w:p>
      <w:pPr>
        <w:pStyle w:val="13"/>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黑体" w:hAnsi="黑体" w:eastAsia="黑体" w:cs="黑体"/>
          <w:color w:val="000000"/>
          <w:kern w:val="0"/>
          <w:highlight w:val="none"/>
        </w:rPr>
      </w:pPr>
      <w:r>
        <w:rPr>
          <w:rFonts w:hint="eastAsia" w:ascii="黑体" w:hAnsi="黑体" w:eastAsia="黑体" w:cs="黑体"/>
          <w:color w:val="000000"/>
          <w:kern w:val="0"/>
          <w:highlight w:val="none"/>
        </w:rPr>
        <w:br w:type="page"/>
      </w:r>
      <w:r>
        <w:rPr>
          <w:rFonts w:hint="eastAsia" w:ascii="黑体" w:hAnsi="黑体" w:eastAsia="黑体" w:cs="黑体"/>
          <w:color w:val="000000"/>
          <w:kern w:val="0"/>
          <w:highlight w:val="none"/>
        </w:rPr>
        <w:t>附件1</w:t>
      </w:r>
    </w:p>
    <w:p>
      <w:pPr>
        <w:pStyle w:val="13"/>
        <w:widowControl/>
        <w:spacing w:line="360" w:lineRule="exact"/>
        <w:rPr>
          <w:rFonts w:hint="eastAsia" w:ascii="黑体" w:hAnsi="黑体" w:eastAsia="黑体" w:cs="黑体"/>
          <w:color w:val="000000"/>
          <w:kern w:val="0"/>
          <w:highlight w:val="none"/>
        </w:rPr>
      </w:pPr>
    </w:p>
    <w:p>
      <w:pPr>
        <w:pStyle w:val="14"/>
        <w:widowControl/>
        <w:spacing w:afterLines="50" w:line="560" w:lineRule="exact"/>
        <w:jc w:val="center"/>
        <w:rPr>
          <w:rFonts w:hint="eastAsia" w:ascii="方正小标宋简体" w:hAnsi="方正小标宋简体" w:eastAsia="方正小标宋简体" w:cs="方正小标宋简体"/>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lang w:eastAsia="zh-CN"/>
        </w:rPr>
        <w:t>龙湖区</w:t>
      </w:r>
      <w:r>
        <w:rPr>
          <w:rFonts w:hint="eastAsia" w:ascii="方正小标宋简体" w:hAnsi="方正小标宋简体" w:eastAsia="方正小标宋简体" w:cs="方正小标宋简体"/>
          <w:color w:val="000000"/>
          <w:kern w:val="0"/>
          <w:sz w:val="36"/>
          <w:szCs w:val="36"/>
          <w:highlight w:val="none"/>
        </w:rPr>
        <w:t>家庭农场</w:t>
      </w:r>
      <w:r>
        <w:rPr>
          <w:rFonts w:hint="eastAsia" w:ascii="方正小标宋简体" w:hAnsi="方正小标宋简体" w:eastAsia="方正小标宋简体" w:cs="方正小标宋简体"/>
          <w:color w:val="000000"/>
          <w:kern w:val="0"/>
          <w:sz w:val="36"/>
          <w:szCs w:val="36"/>
          <w:highlight w:val="none"/>
          <w:lang w:eastAsia="zh-CN"/>
        </w:rPr>
        <w:t>认定</w:t>
      </w:r>
      <w:r>
        <w:rPr>
          <w:rFonts w:hint="eastAsia" w:ascii="方正小标宋简体" w:hAnsi="方正小标宋简体" w:eastAsia="方正小标宋简体" w:cs="方正小标宋简体"/>
          <w:color w:val="000000"/>
          <w:kern w:val="0"/>
          <w:sz w:val="36"/>
          <w:szCs w:val="36"/>
          <w:highlight w:val="none"/>
        </w:rPr>
        <w:t>申请表</w:t>
      </w:r>
    </w:p>
    <w:tbl>
      <w:tblPr>
        <w:tblStyle w:val="6"/>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470"/>
        <w:gridCol w:w="970"/>
        <w:gridCol w:w="303"/>
        <w:gridCol w:w="1457"/>
        <w:gridCol w:w="385"/>
        <w:gridCol w:w="121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家庭农场名称</w:t>
            </w:r>
          </w:p>
        </w:tc>
        <w:tc>
          <w:tcPr>
            <w:tcW w:w="4585" w:type="dxa"/>
            <w:gridSpan w:val="5"/>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c>
          <w:tcPr>
            <w:tcW w:w="1218"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联系人</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身份证号码</w:t>
            </w:r>
          </w:p>
        </w:tc>
        <w:tc>
          <w:tcPr>
            <w:tcW w:w="2743" w:type="dxa"/>
            <w:gridSpan w:val="3"/>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联系电话</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1934" w:type="dxa"/>
            <w:tcBorders>
              <w:top w:val="single" w:color="auto" w:sz="4" w:space="0"/>
              <w:left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家庭劳动力数</w:t>
            </w:r>
          </w:p>
        </w:tc>
        <w:tc>
          <w:tcPr>
            <w:tcW w:w="2743" w:type="dxa"/>
            <w:gridSpan w:val="3"/>
            <w:tcBorders>
              <w:top w:val="single" w:color="auto" w:sz="4" w:space="0"/>
              <w:left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c>
          <w:tcPr>
            <w:tcW w:w="1842"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常年雇工数</w:t>
            </w:r>
          </w:p>
        </w:tc>
        <w:tc>
          <w:tcPr>
            <w:tcW w:w="2372"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农场地址</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主营产品</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c>
          <w:tcPr>
            <w:tcW w:w="2730" w:type="dxa"/>
            <w:gridSpan w:val="3"/>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经营规模情况（亩、头、只、万元）</w:t>
            </w:r>
          </w:p>
        </w:tc>
        <w:tc>
          <w:tcPr>
            <w:tcW w:w="2757" w:type="dxa"/>
            <w:gridSpan w:val="3"/>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流转土地面积</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c>
          <w:tcPr>
            <w:tcW w:w="2730" w:type="dxa"/>
            <w:gridSpan w:val="3"/>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流转土地年限</w:t>
            </w:r>
          </w:p>
        </w:tc>
        <w:tc>
          <w:tcPr>
            <w:tcW w:w="2757" w:type="dxa"/>
            <w:gridSpan w:val="3"/>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合同编号</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c>
          <w:tcPr>
            <w:tcW w:w="3363" w:type="dxa"/>
            <w:gridSpan w:val="4"/>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r>
              <w:rPr>
                <w:rFonts w:hint="eastAsia"/>
                <w:color w:val="000000"/>
                <w:kern w:val="0"/>
                <w:sz w:val="28"/>
                <w:szCs w:val="28"/>
                <w:highlight w:val="none"/>
              </w:rPr>
              <w:t>是否办理工商登记</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3"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tabs>
                <w:tab w:val="left" w:pos="591"/>
              </w:tabs>
              <w:spacing w:line="300" w:lineRule="exact"/>
              <w:jc w:val="center"/>
              <w:rPr>
                <w:color w:val="000000"/>
                <w:kern w:val="0"/>
                <w:sz w:val="28"/>
                <w:szCs w:val="28"/>
                <w:highlight w:val="none"/>
              </w:rPr>
            </w:pPr>
            <w:r>
              <w:rPr>
                <w:rFonts w:hint="eastAsia"/>
                <w:color w:val="000000"/>
                <w:kern w:val="0"/>
                <w:sz w:val="28"/>
                <w:szCs w:val="28"/>
                <w:highlight w:val="none"/>
              </w:rPr>
              <w:t>家庭农场基本情况介绍</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both"/>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p>
            <w:pPr>
              <w:pStyle w:val="14"/>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0"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sz w:val="28"/>
                <w:highlight w:val="none"/>
              </w:rPr>
            </w:pPr>
            <w:r>
              <w:rPr>
                <w:rFonts w:hint="eastAsia"/>
                <w:color w:val="000000"/>
                <w:kern w:val="0"/>
                <w:sz w:val="28"/>
                <w:szCs w:val="28"/>
                <w:highlight w:val="none"/>
              </w:rPr>
              <w:t>农业净收入占家庭农场总收益</w:t>
            </w:r>
            <w:r>
              <w:rPr>
                <w:rFonts w:hint="eastAsia"/>
                <w:color w:val="000000"/>
                <w:kern w:val="0"/>
                <w:sz w:val="28"/>
                <w:szCs w:val="28"/>
                <w:highlight w:val="none"/>
                <w:lang w:eastAsia="zh-CN"/>
              </w:rPr>
              <w:t>情况</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0"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left"/>
              <w:rPr>
                <w:color w:val="000000"/>
                <w:kern w:val="0"/>
                <w:sz w:val="28"/>
                <w:szCs w:val="28"/>
                <w:highlight w:val="none"/>
              </w:rPr>
            </w:pPr>
            <w:r>
              <w:rPr>
                <w:rFonts w:hint="eastAsia"/>
                <w:sz w:val="28"/>
                <w:highlight w:val="none"/>
              </w:rPr>
              <w:t>基本的配套设施</w:t>
            </w:r>
            <w:r>
              <w:rPr>
                <w:rFonts w:hint="eastAsia"/>
                <w:sz w:val="28"/>
                <w:highlight w:val="none"/>
                <w:lang w:eastAsia="zh-CN"/>
              </w:rPr>
              <w:t>、</w:t>
            </w:r>
            <w:r>
              <w:rPr>
                <w:rFonts w:hint="eastAsia"/>
                <w:sz w:val="28"/>
                <w:highlight w:val="none"/>
              </w:rPr>
              <w:t>必要的农业机械</w:t>
            </w:r>
            <w:r>
              <w:rPr>
                <w:rFonts w:hint="eastAsia"/>
                <w:sz w:val="28"/>
                <w:highlight w:val="none"/>
                <w:lang w:eastAsia="zh-CN"/>
              </w:rPr>
              <w:t>具备情况</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rPr>
                <w:color w:val="000000"/>
                <w:kern w:val="0"/>
                <w:sz w:val="28"/>
                <w:szCs w:val="28"/>
                <w:highlight w:val="none"/>
              </w:rPr>
            </w:pPr>
            <w:r>
              <w:rPr>
                <w:rFonts w:hint="eastAsia"/>
                <w:sz w:val="28"/>
                <w:highlight w:val="none"/>
              </w:rPr>
              <w:t>与生产经营相适应的场房场地</w:t>
            </w:r>
            <w:r>
              <w:rPr>
                <w:rFonts w:hint="eastAsia"/>
                <w:sz w:val="28"/>
                <w:highlight w:val="none"/>
                <w:lang w:eastAsia="zh-CN"/>
              </w:rPr>
              <w:t>和</w:t>
            </w:r>
            <w:r>
              <w:rPr>
                <w:rFonts w:hint="eastAsia"/>
                <w:sz w:val="28"/>
                <w:highlight w:val="none"/>
              </w:rPr>
              <w:t>基本办公设备</w:t>
            </w:r>
            <w:r>
              <w:rPr>
                <w:rFonts w:hint="eastAsia"/>
                <w:sz w:val="28"/>
                <w:highlight w:val="none"/>
                <w:lang w:eastAsia="zh-CN"/>
              </w:rPr>
              <w:t>具备情况</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rFonts w:hint="eastAsia" w:eastAsia="仿宋_GB2312"/>
                <w:sz w:val="28"/>
                <w:highlight w:val="none"/>
                <w:lang w:eastAsia="zh-CN"/>
              </w:rPr>
            </w:pPr>
            <w:r>
              <w:rPr>
                <w:rFonts w:hint="eastAsia"/>
                <w:sz w:val="28"/>
                <w:highlight w:val="none"/>
                <w:lang w:eastAsia="zh-CN"/>
              </w:rPr>
              <w:t>申请人承诺</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left"/>
              <w:rPr>
                <w:rFonts w:hint="eastAsia"/>
                <w:color w:val="000000"/>
                <w:kern w:val="0"/>
                <w:sz w:val="28"/>
                <w:szCs w:val="28"/>
                <w:highlight w:val="none"/>
                <w:lang w:eastAsia="zh-CN"/>
              </w:rPr>
            </w:pPr>
            <w:r>
              <w:rPr>
                <w:rFonts w:hint="eastAsia"/>
                <w:color w:val="000000"/>
                <w:kern w:val="0"/>
                <w:sz w:val="28"/>
                <w:szCs w:val="28"/>
                <w:highlight w:val="none"/>
                <w:lang w:eastAsia="zh-CN"/>
              </w:rPr>
              <w:t>上述所填内容真实，如有虚假愿承担一切后果及相关责任。</w:t>
            </w:r>
          </w:p>
          <w:p>
            <w:pPr>
              <w:pStyle w:val="14"/>
              <w:widowControl/>
              <w:spacing w:line="320" w:lineRule="exact"/>
              <w:jc w:val="left"/>
              <w:rPr>
                <w:rFonts w:hint="eastAsia"/>
                <w:color w:val="000000"/>
                <w:kern w:val="0"/>
                <w:sz w:val="28"/>
                <w:szCs w:val="28"/>
                <w:highlight w:val="none"/>
                <w:lang w:eastAsia="zh-CN"/>
              </w:rPr>
            </w:pPr>
          </w:p>
          <w:p>
            <w:pPr>
              <w:pStyle w:val="14"/>
              <w:widowControl/>
              <w:spacing w:line="320" w:lineRule="exact"/>
              <w:jc w:val="both"/>
              <w:rPr>
                <w:rFonts w:hint="eastAsia"/>
                <w:color w:val="000000"/>
                <w:kern w:val="0"/>
                <w:sz w:val="28"/>
                <w:szCs w:val="28"/>
                <w:highlight w:val="none"/>
                <w:lang w:eastAsia="zh-CN"/>
              </w:rPr>
            </w:pPr>
          </w:p>
          <w:p>
            <w:pPr>
              <w:pStyle w:val="14"/>
              <w:widowControl/>
              <w:spacing w:line="320" w:lineRule="exact"/>
              <w:jc w:val="both"/>
              <w:rPr>
                <w:rFonts w:hint="eastAsia"/>
                <w:color w:val="000000"/>
                <w:kern w:val="0"/>
                <w:sz w:val="28"/>
                <w:szCs w:val="28"/>
                <w:highlight w:val="none"/>
                <w:lang w:eastAsia="zh-CN"/>
              </w:rPr>
            </w:pPr>
            <w:r>
              <w:rPr>
                <w:rFonts w:hint="eastAsia"/>
                <w:color w:val="000000"/>
                <w:kern w:val="0"/>
                <w:sz w:val="28"/>
                <w:szCs w:val="28"/>
                <w:highlight w:val="none"/>
                <w:lang w:eastAsia="zh-CN"/>
              </w:rPr>
              <w:t>申请人签字：</w:t>
            </w:r>
            <w:r>
              <w:rPr>
                <w:rFonts w:hint="eastAsia"/>
                <w:color w:val="000000"/>
                <w:kern w:val="0"/>
                <w:sz w:val="28"/>
                <w:szCs w:val="28"/>
                <w:highlight w:val="no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1"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color w:val="000000"/>
                <w:kern w:val="0"/>
                <w:sz w:val="28"/>
                <w:szCs w:val="28"/>
                <w:highlight w:val="none"/>
              </w:rPr>
            </w:pPr>
            <w:r>
              <w:rPr>
                <w:rFonts w:hint="eastAsia"/>
                <w:color w:val="000000"/>
                <w:kern w:val="0"/>
                <w:sz w:val="28"/>
                <w:szCs w:val="28"/>
                <w:highlight w:val="none"/>
                <w:lang w:eastAsia="zh-CN"/>
              </w:rPr>
              <w:t>街道</w:t>
            </w:r>
            <w:r>
              <w:rPr>
                <w:rFonts w:hint="eastAsia"/>
                <w:color w:val="000000"/>
                <w:kern w:val="0"/>
                <w:sz w:val="28"/>
                <w:szCs w:val="28"/>
                <w:highlight w:val="none"/>
              </w:rPr>
              <w:t>意见</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p>
          <w:p>
            <w:pPr>
              <w:pStyle w:val="14"/>
              <w:widowControl/>
              <w:spacing w:line="320" w:lineRule="exact"/>
              <w:jc w:val="center"/>
              <w:rPr>
                <w:rFonts w:hint="eastAsia"/>
                <w:color w:val="000000"/>
                <w:kern w:val="0"/>
                <w:sz w:val="28"/>
                <w:szCs w:val="28"/>
                <w:highlight w:val="none"/>
              </w:rPr>
            </w:pPr>
          </w:p>
          <w:p>
            <w:pPr>
              <w:pStyle w:val="14"/>
              <w:widowControl/>
              <w:spacing w:line="320" w:lineRule="exact"/>
              <w:jc w:val="center"/>
              <w:rPr>
                <w:color w:val="000000"/>
                <w:kern w:val="0"/>
                <w:sz w:val="28"/>
                <w:szCs w:val="28"/>
                <w:highlight w:val="none"/>
              </w:rPr>
            </w:pPr>
            <w:r>
              <w:rPr>
                <w:rFonts w:hint="eastAsia"/>
                <w:color w:val="000000"/>
                <w:kern w:val="0"/>
                <w:sz w:val="28"/>
                <w:szCs w:val="28"/>
                <w:highlight w:val="none"/>
              </w:rPr>
              <w:t xml:space="preserve"> （公章）</w:t>
            </w:r>
          </w:p>
          <w:p>
            <w:pPr>
              <w:pStyle w:val="14"/>
              <w:widowControl/>
              <w:spacing w:line="320" w:lineRule="exact"/>
              <w:jc w:val="center"/>
              <w:rPr>
                <w:color w:val="000000"/>
                <w:kern w:val="0"/>
                <w:sz w:val="28"/>
                <w:szCs w:val="28"/>
                <w:highlight w:val="none"/>
              </w:rPr>
            </w:pPr>
            <w:r>
              <w:rPr>
                <w:rFonts w:hint="eastAsia"/>
                <w:color w:val="000000"/>
                <w:kern w:val="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rFonts w:hint="eastAsia" w:eastAsia="仿宋_GB2312"/>
                <w:color w:val="000000"/>
                <w:kern w:val="0"/>
                <w:sz w:val="28"/>
                <w:szCs w:val="28"/>
                <w:highlight w:val="none"/>
                <w:lang w:eastAsia="zh-CN"/>
              </w:rPr>
            </w:pPr>
            <w:r>
              <w:rPr>
                <w:rFonts w:hint="eastAsia"/>
                <w:color w:val="000000"/>
                <w:kern w:val="0"/>
                <w:sz w:val="28"/>
                <w:szCs w:val="28"/>
                <w:highlight w:val="none"/>
                <w:lang w:eastAsia="zh-CN"/>
              </w:rPr>
              <w:t>区</w:t>
            </w:r>
            <w:r>
              <w:rPr>
                <w:rFonts w:hint="eastAsia"/>
                <w:color w:val="000000"/>
                <w:kern w:val="0"/>
                <w:sz w:val="28"/>
                <w:szCs w:val="28"/>
                <w:highlight w:val="none"/>
              </w:rPr>
              <w:t>农业农村局</w:t>
            </w:r>
            <w:r>
              <w:rPr>
                <w:rFonts w:hint="eastAsia"/>
                <w:color w:val="000000"/>
                <w:kern w:val="0"/>
                <w:sz w:val="28"/>
                <w:szCs w:val="28"/>
                <w:highlight w:val="none"/>
                <w:lang w:eastAsia="zh-CN"/>
              </w:rPr>
              <w:t>意见</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p>
          <w:p>
            <w:pPr>
              <w:pStyle w:val="14"/>
              <w:widowControl/>
              <w:spacing w:line="320" w:lineRule="exact"/>
              <w:jc w:val="center"/>
              <w:rPr>
                <w:color w:val="000000"/>
                <w:kern w:val="0"/>
                <w:sz w:val="28"/>
                <w:szCs w:val="28"/>
                <w:highlight w:val="none"/>
              </w:rPr>
            </w:pPr>
            <w:r>
              <w:rPr>
                <w:rFonts w:hint="eastAsia"/>
                <w:color w:val="000000"/>
                <w:kern w:val="0"/>
                <w:sz w:val="28"/>
                <w:szCs w:val="28"/>
                <w:highlight w:val="none"/>
              </w:rPr>
              <w:t>（公章）</w:t>
            </w:r>
          </w:p>
          <w:p>
            <w:pPr>
              <w:pStyle w:val="14"/>
              <w:widowControl/>
              <w:spacing w:line="320" w:lineRule="exact"/>
              <w:jc w:val="center"/>
              <w:rPr>
                <w:color w:val="000000"/>
                <w:kern w:val="0"/>
                <w:sz w:val="28"/>
                <w:szCs w:val="28"/>
                <w:highlight w:val="none"/>
              </w:rPr>
            </w:pPr>
            <w:r>
              <w:rPr>
                <w:rFonts w:hint="eastAsia"/>
                <w:color w:val="000000"/>
                <w:kern w:val="0"/>
                <w:sz w:val="28"/>
                <w:szCs w:val="28"/>
                <w:highlight w:val="none"/>
              </w:rPr>
              <w:t xml:space="preserve">                        年  月  日</w:t>
            </w:r>
          </w:p>
        </w:tc>
      </w:tr>
    </w:tbl>
    <w:p>
      <w:pPr>
        <w:pStyle w:val="14"/>
        <w:widowControl/>
        <w:spacing w:line="360" w:lineRule="exact"/>
        <w:ind w:firstLine="240" w:firstLineChars="100"/>
        <w:rPr>
          <w:highlight w:val="none"/>
        </w:rPr>
      </w:pPr>
      <w:r>
        <w:rPr>
          <w:rFonts w:hint="eastAsia" w:ascii="宋体" w:hAnsi="宋体" w:cs="宋体"/>
          <w:color w:val="000000"/>
          <w:kern w:val="0"/>
          <w:sz w:val="24"/>
          <w:highlight w:val="none"/>
        </w:rPr>
        <w:t>注：此表一式三份，</w:t>
      </w:r>
      <w:r>
        <w:rPr>
          <w:rFonts w:hint="eastAsia" w:ascii="宋体" w:hAnsi="宋体" w:cs="宋体"/>
          <w:color w:val="000000"/>
          <w:kern w:val="0"/>
          <w:sz w:val="24"/>
          <w:highlight w:val="none"/>
          <w:lang w:eastAsia="zh-CN"/>
        </w:rPr>
        <w:t>区农业农村局、街道</w:t>
      </w:r>
      <w:r>
        <w:rPr>
          <w:rFonts w:hint="eastAsia" w:ascii="宋体" w:hAnsi="宋体" w:cs="宋体"/>
          <w:color w:val="000000"/>
          <w:kern w:val="0"/>
          <w:sz w:val="24"/>
          <w:highlight w:val="none"/>
        </w:rPr>
        <w:t>和家庭农场各一份。</w:t>
      </w:r>
    </w:p>
    <w:p>
      <w:pPr>
        <w:pStyle w:val="13"/>
        <w:widowControl/>
        <w:spacing w:line="360" w:lineRule="exact"/>
        <w:rPr>
          <w:rFonts w:hint="eastAsia" w:ascii="黑体" w:hAnsi="黑体" w:eastAsia="黑体" w:cs="黑体"/>
          <w:color w:val="000000"/>
          <w:kern w:val="0"/>
          <w:highlight w:val="none"/>
        </w:rPr>
      </w:pPr>
    </w:p>
    <w:p>
      <w:pPr>
        <w:pStyle w:val="15"/>
        <w:widowControl/>
        <w:spacing w:afterLines="50" w:line="560" w:lineRule="exact"/>
        <w:jc w:val="left"/>
        <w:rPr>
          <w:rFonts w:ascii="黑体" w:hAnsi="黑体" w:eastAsia="黑体" w:cs="黑体"/>
          <w:color w:val="000000"/>
          <w:kern w:val="0"/>
          <w:highlight w:val="none"/>
        </w:rPr>
      </w:pPr>
      <w:r>
        <w:rPr>
          <w:rFonts w:hint="eastAsia" w:ascii="黑体" w:hAnsi="黑体" w:eastAsia="黑体" w:cs="黑体"/>
          <w:color w:val="000000"/>
          <w:kern w:val="0"/>
          <w:highlight w:val="none"/>
        </w:rPr>
        <w:br w:type="page"/>
      </w:r>
      <w:r>
        <w:rPr>
          <w:rFonts w:hint="eastAsia" w:ascii="黑体" w:hAnsi="黑体" w:eastAsia="黑体" w:cs="黑体"/>
          <w:color w:val="000000"/>
          <w:kern w:val="0"/>
          <w:highlight w:val="none"/>
        </w:rPr>
        <w:t>附件</w:t>
      </w:r>
      <w:r>
        <w:rPr>
          <w:rFonts w:hint="eastAsia" w:ascii="黑体" w:hAnsi="黑体" w:eastAsia="黑体" w:cs="黑体"/>
          <w:color w:val="000000"/>
          <w:kern w:val="0"/>
          <w:highlight w:val="none"/>
          <w:lang w:eastAsia="zh-CN"/>
        </w:rPr>
        <w:t>2</w:t>
      </w:r>
    </w:p>
    <w:p>
      <w:pPr>
        <w:pStyle w:val="15"/>
        <w:widowControl/>
        <w:spacing w:afterLines="50" w:line="560" w:lineRule="exact"/>
        <w:jc w:val="center"/>
        <w:rPr>
          <w:rFonts w:ascii="宋体" w:hAnsi="宋体" w:cs="宋体"/>
          <w:b/>
          <w:bCs/>
          <w:color w:val="000000"/>
          <w:kern w:val="0"/>
          <w:sz w:val="36"/>
          <w:szCs w:val="36"/>
          <w:highlight w:val="none"/>
        </w:rPr>
      </w:pPr>
      <w:r>
        <w:rPr>
          <w:rFonts w:hint="eastAsia" w:ascii="方正小标宋简体" w:hAnsi="方正小标宋简体" w:eastAsia="方正小标宋简体" w:cs="方正小标宋简体"/>
          <w:color w:val="000000"/>
          <w:kern w:val="0"/>
          <w:sz w:val="36"/>
          <w:szCs w:val="36"/>
          <w:highlight w:val="none"/>
          <w:lang w:eastAsia="zh-CN"/>
        </w:rPr>
        <w:t>龙湖区</w:t>
      </w:r>
      <w:r>
        <w:rPr>
          <w:rFonts w:hint="eastAsia" w:ascii="方正小标宋简体" w:hAnsi="方正小标宋简体" w:eastAsia="方正小标宋简体" w:cs="方正小标宋简体"/>
          <w:color w:val="000000"/>
          <w:kern w:val="0"/>
          <w:sz w:val="36"/>
          <w:szCs w:val="36"/>
          <w:highlight w:val="none"/>
        </w:rPr>
        <w:t>家庭农场发展情况监测表</w:t>
      </w:r>
    </w:p>
    <w:tbl>
      <w:tblPr>
        <w:tblStyle w:val="6"/>
        <w:tblW w:w="88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1470"/>
        <w:gridCol w:w="970"/>
        <w:gridCol w:w="195"/>
        <w:gridCol w:w="1565"/>
        <w:gridCol w:w="355"/>
        <w:gridCol w:w="1248"/>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家庭农场名称</w:t>
            </w:r>
          </w:p>
        </w:tc>
        <w:tc>
          <w:tcPr>
            <w:tcW w:w="4555" w:type="dxa"/>
            <w:gridSpan w:val="5"/>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c>
          <w:tcPr>
            <w:tcW w:w="1248"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联系人</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身份证号码</w:t>
            </w:r>
          </w:p>
        </w:tc>
        <w:tc>
          <w:tcPr>
            <w:tcW w:w="2635" w:type="dxa"/>
            <w:gridSpan w:val="3"/>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联系电话</w:t>
            </w:r>
          </w:p>
        </w:tc>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1934" w:type="dxa"/>
            <w:tcBorders>
              <w:top w:val="single" w:color="auto" w:sz="4" w:space="0"/>
              <w:left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家庭劳动力数</w:t>
            </w:r>
          </w:p>
        </w:tc>
        <w:tc>
          <w:tcPr>
            <w:tcW w:w="2635" w:type="dxa"/>
            <w:gridSpan w:val="3"/>
            <w:tcBorders>
              <w:top w:val="single" w:color="auto" w:sz="4" w:space="0"/>
              <w:left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c>
          <w:tcPr>
            <w:tcW w:w="1920" w:type="dxa"/>
            <w:gridSpan w:val="2"/>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常年雇工数</w:t>
            </w:r>
          </w:p>
        </w:tc>
        <w:tc>
          <w:tcPr>
            <w:tcW w:w="2402" w:type="dxa"/>
            <w:gridSpan w:val="2"/>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农场地址</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主营产品</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c>
          <w:tcPr>
            <w:tcW w:w="2730" w:type="dxa"/>
            <w:gridSpan w:val="3"/>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经营规模情况（亩、头、只、万元）</w:t>
            </w:r>
          </w:p>
        </w:tc>
        <w:tc>
          <w:tcPr>
            <w:tcW w:w="2757" w:type="dxa"/>
            <w:gridSpan w:val="3"/>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流转土地面积</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c>
          <w:tcPr>
            <w:tcW w:w="2730" w:type="dxa"/>
            <w:gridSpan w:val="3"/>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流转土地年限</w:t>
            </w:r>
          </w:p>
        </w:tc>
        <w:tc>
          <w:tcPr>
            <w:tcW w:w="2757" w:type="dxa"/>
            <w:gridSpan w:val="3"/>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合同编号</w:t>
            </w:r>
          </w:p>
        </w:tc>
        <w:tc>
          <w:tcPr>
            <w:tcW w:w="2440" w:type="dxa"/>
            <w:gridSpan w:val="2"/>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c>
          <w:tcPr>
            <w:tcW w:w="3363" w:type="dxa"/>
            <w:gridSpan w:val="4"/>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是否办理工商登记</w:t>
            </w:r>
          </w:p>
        </w:tc>
        <w:tc>
          <w:tcPr>
            <w:tcW w:w="115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6" w:hRule="exac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tabs>
                <w:tab w:val="left" w:pos="591"/>
              </w:tabs>
              <w:spacing w:line="300" w:lineRule="exact"/>
              <w:jc w:val="center"/>
              <w:rPr>
                <w:color w:val="000000"/>
                <w:kern w:val="0"/>
                <w:sz w:val="28"/>
                <w:szCs w:val="28"/>
                <w:highlight w:val="none"/>
              </w:rPr>
            </w:pPr>
            <w:r>
              <w:rPr>
                <w:rFonts w:hint="eastAsia"/>
                <w:color w:val="000000"/>
                <w:kern w:val="0"/>
                <w:sz w:val="28"/>
                <w:szCs w:val="28"/>
                <w:highlight w:val="none"/>
              </w:rPr>
              <w:t>家庭农场基本情况介绍</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p>
            <w:pPr>
              <w:pStyle w:val="15"/>
              <w:widowControl/>
              <w:spacing w:line="30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6"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00" w:lineRule="exact"/>
              <w:jc w:val="center"/>
              <w:rPr>
                <w:color w:val="000000"/>
                <w:kern w:val="0"/>
                <w:sz w:val="28"/>
                <w:szCs w:val="28"/>
                <w:highlight w:val="none"/>
              </w:rPr>
            </w:pPr>
            <w:r>
              <w:rPr>
                <w:rFonts w:hint="eastAsia"/>
                <w:color w:val="000000"/>
                <w:kern w:val="0"/>
                <w:sz w:val="28"/>
                <w:szCs w:val="28"/>
                <w:highlight w:val="none"/>
              </w:rPr>
              <w:t>产品认证</w:t>
            </w:r>
          </w:p>
          <w:p>
            <w:pPr>
              <w:pStyle w:val="15"/>
              <w:widowControl/>
              <w:spacing w:line="320" w:lineRule="exact"/>
              <w:jc w:val="center"/>
              <w:rPr>
                <w:color w:val="000000"/>
                <w:kern w:val="0"/>
                <w:sz w:val="28"/>
                <w:szCs w:val="28"/>
                <w:highlight w:val="none"/>
              </w:rPr>
            </w:pPr>
            <w:r>
              <w:rPr>
                <w:rFonts w:hint="eastAsia"/>
                <w:color w:val="000000"/>
                <w:kern w:val="0"/>
                <w:sz w:val="28"/>
                <w:szCs w:val="28"/>
                <w:highlight w:val="none"/>
              </w:rPr>
              <w:t>情况</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1"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sz w:val="28"/>
                <w:highlight w:val="none"/>
              </w:rPr>
            </w:pPr>
            <w:r>
              <w:rPr>
                <w:rFonts w:hint="eastAsia"/>
                <w:color w:val="000000"/>
                <w:kern w:val="0"/>
                <w:sz w:val="28"/>
                <w:szCs w:val="28"/>
                <w:highlight w:val="none"/>
              </w:rPr>
              <w:t>农业净收入占家庭农场总收益的</w:t>
            </w:r>
            <w:r>
              <w:rPr>
                <w:rFonts w:hint="eastAsia"/>
                <w:color w:val="000000"/>
                <w:kern w:val="0"/>
                <w:sz w:val="28"/>
                <w:szCs w:val="28"/>
                <w:highlight w:val="none"/>
                <w:lang w:eastAsia="zh-CN"/>
              </w:rPr>
              <w:t>情况</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7"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color w:val="000000"/>
                <w:kern w:val="0"/>
                <w:sz w:val="28"/>
                <w:szCs w:val="28"/>
                <w:highlight w:val="none"/>
              </w:rPr>
            </w:pPr>
            <w:r>
              <w:rPr>
                <w:rFonts w:hint="eastAsia"/>
                <w:sz w:val="28"/>
                <w:highlight w:val="none"/>
              </w:rPr>
              <w:t>农产品商品率应在80%以上</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7"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color w:val="000000"/>
                <w:kern w:val="0"/>
                <w:sz w:val="28"/>
                <w:szCs w:val="28"/>
                <w:highlight w:val="none"/>
              </w:rPr>
            </w:pPr>
            <w:r>
              <w:rPr>
                <w:rFonts w:hint="eastAsia"/>
                <w:color w:val="000000"/>
                <w:kern w:val="0"/>
                <w:sz w:val="28"/>
                <w:szCs w:val="28"/>
                <w:highlight w:val="none"/>
                <w:lang w:eastAsia="zh-CN"/>
              </w:rPr>
              <w:t>街道</w:t>
            </w:r>
            <w:r>
              <w:rPr>
                <w:rFonts w:hint="eastAsia"/>
                <w:color w:val="000000"/>
                <w:kern w:val="0"/>
                <w:sz w:val="28"/>
                <w:szCs w:val="28"/>
                <w:highlight w:val="none"/>
              </w:rPr>
              <w:t>意见</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color w:val="000000"/>
                <w:kern w:val="0"/>
                <w:sz w:val="32"/>
                <w:szCs w:val="32"/>
                <w:highlight w:val="none"/>
              </w:rPr>
            </w:pPr>
          </w:p>
          <w:p>
            <w:pPr>
              <w:pStyle w:val="15"/>
              <w:widowControl/>
              <w:spacing w:line="320" w:lineRule="exact"/>
              <w:jc w:val="center"/>
              <w:rPr>
                <w:color w:val="000000"/>
                <w:kern w:val="0"/>
                <w:sz w:val="32"/>
                <w:szCs w:val="32"/>
                <w:highlight w:val="none"/>
              </w:rPr>
            </w:pPr>
          </w:p>
          <w:p>
            <w:pPr>
              <w:pStyle w:val="15"/>
              <w:widowControl/>
              <w:spacing w:line="320" w:lineRule="exact"/>
              <w:jc w:val="center"/>
              <w:rPr>
                <w:color w:val="000000"/>
                <w:kern w:val="0"/>
                <w:sz w:val="32"/>
                <w:szCs w:val="32"/>
                <w:highlight w:val="none"/>
              </w:rPr>
            </w:pPr>
          </w:p>
          <w:p>
            <w:pPr>
              <w:pStyle w:val="15"/>
              <w:widowControl/>
              <w:spacing w:line="320" w:lineRule="exact"/>
              <w:jc w:val="center"/>
              <w:rPr>
                <w:color w:val="000000"/>
                <w:kern w:val="0"/>
                <w:sz w:val="32"/>
                <w:szCs w:val="32"/>
                <w:highlight w:val="none"/>
              </w:rPr>
            </w:pPr>
          </w:p>
          <w:p>
            <w:pPr>
              <w:pStyle w:val="15"/>
              <w:widowControl/>
              <w:spacing w:line="320" w:lineRule="exact"/>
              <w:jc w:val="center"/>
              <w:rPr>
                <w:color w:val="000000"/>
                <w:kern w:val="0"/>
                <w:sz w:val="32"/>
                <w:szCs w:val="32"/>
                <w:highlight w:val="none"/>
              </w:rPr>
            </w:pPr>
          </w:p>
          <w:p>
            <w:pPr>
              <w:pStyle w:val="15"/>
              <w:widowControl/>
              <w:spacing w:line="320" w:lineRule="exact"/>
              <w:jc w:val="center"/>
              <w:rPr>
                <w:color w:val="000000"/>
                <w:kern w:val="0"/>
                <w:sz w:val="32"/>
                <w:szCs w:val="32"/>
                <w:highlight w:val="none"/>
              </w:rPr>
            </w:pPr>
          </w:p>
          <w:p>
            <w:pPr>
              <w:pStyle w:val="15"/>
              <w:widowControl/>
              <w:spacing w:line="320" w:lineRule="exact"/>
              <w:jc w:val="center"/>
              <w:rPr>
                <w:color w:val="000000"/>
                <w:kern w:val="0"/>
                <w:sz w:val="28"/>
                <w:szCs w:val="28"/>
                <w:highlight w:val="none"/>
              </w:rPr>
            </w:pPr>
            <w:r>
              <w:rPr>
                <w:rFonts w:hint="eastAsia"/>
                <w:color w:val="000000"/>
                <w:kern w:val="0"/>
                <w:sz w:val="28"/>
                <w:szCs w:val="28"/>
                <w:highlight w:val="none"/>
              </w:rPr>
              <w:t xml:space="preserve"> （公章）</w:t>
            </w:r>
          </w:p>
          <w:p>
            <w:pPr>
              <w:pStyle w:val="15"/>
              <w:widowControl/>
              <w:spacing w:line="320" w:lineRule="exact"/>
              <w:jc w:val="center"/>
              <w:rPr>
                <w:color w:val="000000"/>
                <w:kern w:val="0"/>
                <w:sz w:val="28"/>
                <w:szCs w:val="28"/>
                <w:highlight w:val="none"/>
              </w:rPr>
            </w:pPr>
            <w:r>
              <w:rPr>
                <w:rFonts w:hint="eastAsia"/>
                <w:color w:val="000000"/>
                <w:kern w:val="0"/>
                <w:sz w:val="28"/>
                <w:szCs w:val="28"/>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0" w:hRule="atLeast"/>
          <w:jc w:val="center"/>
        </w:trPr>
        <w:tc>
          <w:tcPr>
            <w:tcW w:w="1934" w:type="dxa"/>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rFonts w:hint="eastAsia" w:eastAsia="仿宋_GB2312"/>
                <w:color w:val="000000"/>
                <w:kern w:val="0"/>
                <w:sz w:val="28"/>
                <w:szCs w:val="28"/>
                <w:highlight w:val="none"/>
                <w:lang w:eastAsia="zh-CN"/>
              </w:rPr>
            </w:pPr>
            <w:r>
              <w:rPr>
                <w:rFonts w:hint="eastAsia"/>
                <w:color w:val="000000"/>
                <w:kern w:val="0"/>
                <w:sz w:val="28"/>
                <w:szCs w:val="28"/>
                <w:highlight w:val="none"/>
                <w:lang w:eastAsia="zh-CN"/>
              </w:rPr>
              <w:t>区</w:t>
            </w:r>
            <w:r>
              <w:rPr>
                <w:rFonts w:hint="eastAsia"/>
                <w:color w:val="000000"/>
                <w:kern w:val="0"/>
                <w:sz w:val="28"/>
                <w:szCs w:val="28"/>
                <w:highlight w:val="none"/>
              </w:rPr>
              <w:t>农业农村局</w:t>
            </w:r>
            <w:r>
              <w:rPr>
                <w:rFonts w:hint="eastAsia"/>
                <w:color w:val="000000"/>
                <w:kern w:val="0"/>
                <w:sz w:val="28"/>
                <w:szCs w:val="28"/>
                <w:highlight w:val="none"/>
                <w:lang w:eastAsia="zh-CN"/>
              </w:rPr>
              <w:t>意见</w:t>
            </w:r>
          </w:p>
        </w:tc>
        <w:tc>
          <w:tcPr>
            <w:tcW w:w="6957" w:type="dxa"/>
            <w:gridSpan w:val="7"/>
            <w:tcBorders>
              <w:top w:val="single" w:color="auto" w:sz="4" w:space="0"/>
              <w:left w:val="single" w:color="auto" w:sz="4" w:space="0"/>
              <w:bottom w:val="single" w:color="auto" w:sz="4" w:space="0"/>
              <w:right w:val="single" w:color="auto" w:sz="4" w:space="0"/>
            </w:tcBorders>
            <w:noWrap w:val="0"/>
            <w:vAlign w:val="center"/>
          </w:tcPr>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p>
          <w:p>
            <w:pPr>
              <w:pStyle w:val="15"/>
              <w:widowControl/>
              <w:spacing w:line="320" w:lineRule="exact"/>
              <w:jc w:val="center"/>
              <w:rPr>
                <w:color w:val="000000"/>
                <w:kern w:val="0"/>
                <w:sz w:val="28"/>
                <w:szCs w:val="28"/>
                <w:highlight w:val="none"/>
              </w:rPr>
            </w:pPr>
            <w:r>
              <w:rPr>
                <w:rFonts w:hint="eastAsia"/>
                <w:color w:val="000000"/>
                <w:kern w:val="0"/>
                <w:sz w:val="28"/>
                <w:szCs w:val="28"/>
                <w:highlight w:val="none"/>
              </w:rPr>
              <w:t>（公章）</w:t>
            </w:r>
          </w:p>
          <w:p>
            <w:pPr>
              <w:pStyle w:val="15"/>
              <w:widowControl/>
              <w:spacing w:line="320" w:lineRule="exact"/>
              <w:jc w:val="center"/>
              <w:rPr>
                <w:color w:val="000000"/>
                <w:kern w:val="0"/>
                <w:sz w:val="28"/>
                <w:szCs w:val="28"/>
                <w:highlight w:val="none"/>
              </w:rPr>
            </w:pPr>
            <w:r>
              <w:rPr>
                <w:rFonts w:hint="eastAsia"/>
                <w:color w:val="000000"/>
                <w:kern w:val="0"/>
                <w:sz w:val="28"/>
                <w:szCs w:val="28"/>
                <w:highlight w:val="none"/>
              </w:rPr>
              <w:t xml:space="preserve">                        年  月  日</w:t>
            </w:r>
          </w:p>
        </w:tc>
      </w:tr>
    </w:tbl>
    <w:p>
      <w:pPr>
        <w:pStyle w:val="15"/>
        <w:widowControl/>
        <w:spacing w:line="360" w:lineRule="exact"/>
        <w:ind w:firstLine="240" w:firstLineChars="100"/>
        <w:jc w:val="both"/>
        <w:rPr>
          <w:rFonts w:hint="eastAsia" w:ascii="方正仿宋简体" w:hAnsi="方正仿宋简体" w:eastAsia="方正仿宋简体" w:cs="方正仿宋简体"/>
          <w:sz w:val="32"/>
          <w:szCs w:val="32"/>
          <w:highlight w:val="none"/>
          <w:lang w:val="en-US" w:eastAsia="zh-CN"/>
        </w:rPr>
      </w:pPr>
      <w:r>
        <w:rPr>
          <w:rFonts w:hint="eastAsia" w:ascii="宋体" w:hAnsi="宋体" w:cs="宋体"/>
          <w:color w:val="000000"/>
          <w:kern w:val="0"/>
          <w:sz w:val="24"/>
          <w:highlight w:val="none"/>
        </w:rPr>
        <w:t>注：此表一式三份，</w:t>
      </w:r>
      <w:r>
        <w:rPr>
          <w:rFonts w:hint="eastAsia" w:ascii="宋体" w:hAnsi="宋体" w:cs="宋体"/>
          <w:color w:val="000000"/>
          <w:kern w:val="0"/>
          <w:sz w:val="24"/>
          <w:highlight w:val="none"/>
          <w:lang w:eastAsia="zh-CN"/>
        </w:rPr>
        <w:t>区</w:t>
      </w:r>
      <w:r>
        <w:rPr>
          <w:rFonts w:hint="eastAsia" w:ascii="宋体" w:hAnsi="宋体" w:cs="宋体"/>
          <w:color w:val="000000"/>
          <w:kern w:val="0"/>
          <w:sz w:val="24"/>
          <w:highlight w:val="none"/>
          <w:lang w:val="en-US" w:eastAsia="zh-CN"/>
        </w:rPr>
        <w:t>农业农村局</w:t>
      </w:r>
      <w:r>
        <w:rPr>
          <w:rFonts w:hint="eastAsia" w:ascii="宋体" w:hAnsi="宋体" w:cs="宋体"/>
          <w:color w:val="000000"/>
          <w:kern w:val="0"/>
          <w:sz w:val="24"/>
          <w:highlight w:val="none"/>
          <w:lang w:eastAsia="zh-CN"/>
        </w:rPr>
        <w:t>、街道</w:t>
      </w:r>
      <w:r>
        <w:rPr>
          <w:rFonts w:hint="eastAsia" w:ascii="宋体" w:hAnsi="宋体" w:cs="宋体"/>
          <w:color w:val="000000"/>
          <w:kern w:val="0"/>
          <w:sz w:val="24"/>
          <w:highlight w:val="none"/>
        </w:rPr>
        <w:t>和家庭农场各一份。</w:t>
      </w:r>
    </w:p>
    <w:sectPr>
      <w:headerReference r:id="rId5" w:type="first"/>
      <w:footerReference r:id="rId8" w:type="first"/>
      <w:headerReference r:id="rId3" w:type="default"/>
      <w:footerReference r:id="rId6" w:type="default"/>
      <w:headerReference r:id="rId4" w:type="even"/>
      <w:footerReference r:id="rId7" w:type="even"/>
      <w:pgSz w:w="11906" w:h="16838"/>
      <w:pgMar w:top="1417" w:right="1361" w:bottom="1417" w:left="1587" w:header="851" w:footer="992" w:gutter="0"/>
      <w:cols w:space="425"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cs="宋体"/>
        <w:sz w:val="28"/>
        <w:szCs w:val="28"/>
      </w:rPr>
    </w:pPr>
    <w:r>
      <w:rPr>
        <w:rFonts w:hint="eastAsia" w:ascii="宋体" w:hAnsi="宋体" w:eastAsia="宋体" w:cs="宋体"/>
        <w:sz w:val="28"/>
        <w:szCs w:val="28"/>
      </w:rPr>
      <w:pict>
        <v:shape id="_x0000_s4099" o:spid="_x0000_s409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4AC5"/>
    <w:rsid w:val="00000EE6"/>
    <w:rsid w:val="00002B4B"/>
    <w:rsid w:val="00084E59"/>
    <w:rsid w:val="000A7143"/>
    <w:rsid w:val="000C6E8C"/>
    <w:rsid w:val="000F0837"/>
    <w:rsid w:val="000F2B4D"/>
    <w:rsid w:val="0016488E"/>
    <w:rsid w:val="00167A39"/>
    <w:rsid w:val="001962F9"/>
    <w:rsid w:val="001A150D"/>
    <w:rsid w:val="001A6A33"/>
    <w:rsid w:val="001A6C1F"/>
    <w:rsid w:val="001A75C7"/>
    <w:rsid w:val="001C45D2"/>
    <w:rsid w:val="001D08D0"/>
    <w:rsid w:val="001D6A50"/>
    <w:rsid w:val="001E31AA"/>
    <w:rsid w:val="001F5FAD"/>
    <w:rsid w:val="0020109E"/>
    <w:rsid w:val="00235A1A"/>
    <w:rsid w:val="002367EC"/>
    <w:rsid w:val="002438CA"/>
    <w:rsid w:val="0026312E"/>
    <w:rsid w:val="00291C87"/>
    <w:rsid w:val="002B4D8E"/>
    <w:rsid w:val="002C2D49"/>
    <w:rsid w:val="002D4FA2"/>
    <w:rsid w:val="002E2AD0"/>
    <w:rsid w:val="00324BD1"/>
    <w:rsid w:val="00327920"/>
    <w:rsid w:val="00352906"/>
    <w:rsid w:val="003552BF"/>
    <w:rsid w:val="00386207"/>
    <w:rsid w:val="003966A3"/>
    <w:rsid w:val="003D047A"/>
    <w:rsid w:val="003E61F1"/>
    <w:rsid w:val="003F11FF"/>
    <w:rsid w:val="003F1310"/>
    <w:rsid w:val="00400E34"/>
    <w:rsid w:val="00430418"/>
    <w:rsid w:val="00434227"/>
    <w:rsid w:val="00450DA8"/>
    <w:rsid w:val="00463896"/>
    <w:rsid w:val="00474140"/>
    <w:rsid w:val="00474EEF"/>
    <w:rsid w:val="00476CFA"/>
    <w:rsid w:val="004A2945"/>
    <w:rsid w:val="004F7C72"/>
    <w:rsid w:val="00503B50"/>
    <w:rsid w:val="00535048"/>
    <w:rsid w:val="005457D4"/>
    <w:rsid w:val="00546DFB"/>
    <w:rsid w:val="005603FA"/>
    <w:rsid w:val="00567294"/>
    <w:rsid w:val="005859B1"/>
    <w:rsid w:val="005865F9"/>
    <w:rsid w:val="005962E4"/>
    <w:rsid w:val="005D46A6"/>
    <w:rsid w:val="005E5743"/>
    <w:rsid w:val="00630CEC"/>
    <w:rsid w:val="0063238D"/>
    <w:rsid w:val="00641200"/>
    <w:rsid w:val="00647447"/>
    <w:rsid w:val="006D712A"/>
    <w:rsid w:val="006F3C87"/>
    <w:rsid w:val="006F5D4A"/>
    <w:rsid w:val="00726BD8"/>
    <w:rsid w:val="00755C8D"/>
    <w:rsid w:val="0078474D"/>
    <w:rsid w:val="007A5F90"/>
    <w:rsid w:val="007C7A37"/>
    <w:rsid w:val="008011DB"/>
    <w:rsid w:val="0080452A"/>
    <w:rsid w:val="00817286"/>
    <w:rsid w:val="0082530F"/>
    <w:rsid w:val="00830218"/>
    <w:rsid w:val="00835D21"/>
    <w:rsid w:val="00837DC4"/>
    <w:rsid w:val="008A5AFC"/>
    <w:rsid w:val="008B455C"/>
    <w:rsid w:val="008C34E4"/>
    <w:rsid w:val="008D36CD"/>
    <w:rsid w:val="008F0AE8"/>
    <w:rsid w:val="008F6DB8"/>
    <w:rsid w:val="0090464E"/>
    <w:rsid w:val="00910E7A"/>
    <w:rsid w:val="009232D0"/>
    <w:rsid w:val="0094460E"/>
    <w:rsid w:val="00996508"/>
    <w:rsid w:val="009D2F70"/>
    <w:rsid w:val="009F4A08"/>
    <w:rsid w:val="00A16665"/>
    <w:rsid w:val="00A42540"/>
    <w:rsid w:val="00A43B94"/>
    <w:rsid w:val="00A513BA"/>
    <w:rsid w:val="00A630A7"/>
    <w:rsid w:val="00A643CE"/>
    <w:rsid w:val="00A90F45"/>
    <w:rsid w:val="00A91B45"/>
    <w:rsid w:val="00AA4F4B"/>
    <w:rsid w:val="00AB35C2"/>
    <w:rsid w:val="00AB565A"/>
    <w:rsid w:val="00AD3AE9"/>
    <w:rsid w:val="00AE007A"/>
    <w:rsid w:val="00B009CB"/>
    <w:rsid w:val="00B04E76"/>
    <w:rsid w:val="00B05A12"/>
    <w:rsid w:val="00B122C4"/>
    <w:rsid w:val="00B139B4"/>
    <w:rsid w:val="00B31B1F"/>
    <w:rsid w:val="00B73678"/>
    <w:rsid w:val="00B7783E"/>
    <w:rsid w:val="00B85D16"/>
    <w:rsid w:val="00BC5200"/>
    <w:rsid w:val="00BD28CE"/>
    <w:rsid w:val="00BF49EB"/>
    <w:rsid w:val="00BF61AC"/>
    <w:rsid w:val="00C04AC5"/>
    <w:rsid w:val="00C143F0"/>
    <w:rsid w:val="00C504DD"/>
    <w:rsid w:val="00C6427B"/>
    <w:rsid w:val="00C729B3"/>
    <w:rsid w:val="00CF1A98"/>
    <w:rsid w:val="00D0684E"/>
    <w:rsid w:val="00D06946"/>
    <w:rsid w:val="00D06F66"/>
    <w:rsid w:val="00D0700D"/>
    <w:rsid w:val="00D114F1"/>
    <w:rsid w:val="00D16018"/>
    <w:rsid w:val="00D27CFA"/>
    <w:rsid w:val="00D3408B"/>
    <w:rsid w:val="00D7407A"/>
    <w:rsid w:val="00D815A6"/>
    <w:rsid w:val="00D8572A"/>
    <w:rsid w:val="00DB1DB7"/>
    <w:rsid w:val="00DB507D"/>
    <w:rsid w:val="00DC1217"/>
    <w:rsid w:val="00DC6FE5"/>
    <w:rsid w:val="00DE288F"/>
    <w:rsid w:val="00DF7229"/>
    <w:rsid w:val="00E15D49"/>
    <w:rsid w:val="00E3762B"/>
    <w:rsid w:val="00E7590F"/>
    <w:rsid w:val="00E849E3"/>
    <w:rsid w:val="00E869BA"/>
    <w:rsid w:val="00ED3154"/>
    <w:rsid w:val="00EF32F2"/>
    <w:rsid w:val="00F22883"/>
    <w:rsid w:val="00F26DAA"/>
    <w:rsid w:val="00F313C7"/>
    <w:rsid w:val="00F34E43"/>
    <w:rsid w:val="00F42FCD"/>
    <w:rsid w:val="00F44D79"/>
    <w:rsid w:val="00F63C8B"/>
    <w:rsid w:val="00F64D4F"/>
    <w:rsid w:val="00FA34F9"/>
    <w:rsid w:val="00FD6111"/>
    <w:rsid w:val="010E503F"/>
    <w:rsid w:val="013E3FA4"/>
    <w:rsid w:val="0141107B"/>
    <w:rsid w:val="01796814"/>
    <w:rsid w:val="017F6995"/>
    <w:rsid w:val="020678AD"/>
    <w:rsid w:val="022E142A"/>
    <w:rsid w:val="02374A25"/>
    <w:rsid w:val="02B2281A"/>
    <w:rsid w:val="03154E0C"/>
    <w:rsid w:val="033015B9"/>
    <w:rsid w:val="03317A7F"/>
    <w:rsid w:val="03472BD4"/>
    <w:rsid w:val="036B5A4F"/>
    <w:rsid w:val="03EE2E92"/>
    <w:rsid w:val="0471734E"/>
    <w:rsid w:val="04B460DA"/>
    <w:rsid w:val="04B7146C"/>
    <w:rsid w:val="04D60AA2"/>
    <w:rsid w:val="04DD5BC8"/>
    <w:rsid w:val="0505463D"/>
    <w:rsid w:val="050F3F09"/>
    <w:rsid w:val="052C32FC"/>
    <w:rsid w:val="056113A7"/>
    <w:rsid w:val="057207C9"/>
    <w:rsid w:val="05B8584C"/>
    <w:rsid w:val="05CE4FA8"/>
    <w:rsid w:val="06034B13"/>
    <w:rsid w:val="06163F5B"/>
    <w:rsid w:val="06174D20"/>
    <w:rsid w:val="062801DE"/>
    <w:rsid w:val="062C2A27"/>
    <w:rsid w:val="063538F2"/>
    <w:rsid w:val="066B0805"/>
    <w:rsid w:val="06B71D8F"/>
    <w:rsid w:val="06B9628A"/>
    <w:rsid w:val="06F876EF"/>
    <w:rsid w:val="070C4EA6"/>
    <w:rsid w:val="07182FFF"/>
    <w:rsid w:val="07664F8E"/>
    <w:rsid w:val="07761788"/>
    <w:rsid w:val="078B4893"/>
    <w:rsid w:val="07A05546"/>
    <w:rsid w:val="07DB1172"/>
    <w:rsid w:val="07E93029"/>
    <w:rsid w:val="08003164"/>
    <w:rsid w:val="0813048D"/>
    <w:rsid w:val="08253234"/>
    <w:rsid w:val="082866B0"/>
    <w:rsid w:val="08401ABA"/>
    <w:rsid w:val="08C16705"/>
    <w:rsid w:val="08D6117C"/>
    <w:rsid w:val="08F547A3"/>
    <w:rsid w:val="09BE1773"/>
    <w:rsid w:val="09D36C77"/>
    <w:rsid w:val="09F54C85"/>
    <w:rsid w:val="09FC0A3C"/>
    <w:rsid w:val="0A02727E"/>
    <w:rsid w:val="0A267FD9"/>
    <w:rsid w:val="0A4C52C9"/>
    <w:rsid w:val="0A6B6EB2"/>
    <w:rsid w:val="0A7C1003"/>
    <w:rsid w:val="0AD06E26"/>
    <w:rsid w:val="0AEE0AC1"/>
    <w:rsid w:val="0B1757DF"/>
    <w:rsid w:val="0B193A02"/>
    <w:rsid w:val="0B207824"/>
    <w:rsid w:val="0B4F0EE2"/>
    <w:rsid w:val="0B9A6956"/>
    <w:rsid w:val="0BFF1855"/>
    <w:rsid w:val="0C3A1696"/>
    <w:rsid w:val="0C5508B2"/>
    <w:rsid w:val="0C5E7AA2"/>
    <w:rsid w:val="0C7577DF"/>
    <w:rsid w:val="0CA25AF2"/>
    <w:rsid w:val="0CAB5348"/>
    <w:rsid w:val="0CE43F09"/>
    <w:rsid w:val="0D2F6CA2"/>
    <w:rsid w:val="0D3C3D90"/>
    <w:rsid w:val="0D8F022E"/>
    <w:rsid w:val="0DBE30FD"/>
    <w:rsid w:val="0DDA4C34"/>
    <w:rsid w:val="0DDC1EB3"/>
    <w:rsid w:val="0DEB4CC6"/>
    <w:rsid w:val="0E425777"/>
    <w:rsid w:val="0E5D361E"/>
    <w:rsid w:val="0E6F55D1"/>
    <w:rsid w:val="0EF11F3B"/>
    <w:rsid w:val="0F123255"/>
    <w:rsid w:val="0F6F55E4"/>
    <w:rsid w:val="0F8365E7"/>
    <w:rsid w:val="0F9433D3"/>
    <w:rsid w:val="0FD5102F"/>
    <w:rsid w:val="0FE20CF8"/>
    <w:rsid w:val="0FE330C3"/>
    <w:rsid w:val="0FF434AB"/>
    <w:rsid w:val="101A5CFB"/>
    <w:rsid w:val="10304CA5"/>
    <w:rsid w:val="1031534E"/>
    <w:rsid w:val="103A3BA2"/>
    <w:rsid w:val="10492FD8"/>
    <w:rsid w:val="10501A16"/>
    <w:rsid w:val="10A340CA"/>
    <w:rsid w:val="10AA1F8E"/>
    <w:rsid w:val="10BF4FBF"/>
    <w:rsid w:val="10D80993"/>
    <w:rsid w:val="110B3F78"/>
    <w:rsid w:val="1134185A"/>
    <w:rsid w:val="113D25F3"/>
    <w:rsid w:val="11622F0F"/>
    <w:rsid w:val="117D680F"/>
    <w:rsid w:val="117F4098"/>
    <w:rsid w:val="11A329D5"/>
    <w:rsid w:val="11CF3378"/>
    <w:rsid w:val="11E33CD6"/>
    <w:rsid w:val="11E649D8"/>
    <w:rsid w:val="11ED1512"/>
    <w:rsid w:val="12AB643D"/>
    <w:rsid w:val="12AB7A4D"/>
    <w:rsid w:val="12D07015"/>
    <w:rsid w:val="12E17307"/>
    <w:rsid w:val="12E71D4D"/>
    <w:rsid w:val="12F02BD0"/>
    <w:rsid w:val="13485598"/>
    <w:rsid w:val="134C321E"/>
    <w:rsid w:val="13726DAC"/>
    <w:rsid w:val="138C6AD6"/>
    <w:rsid w:val="139071CF"/>
    <w:rsid w:val="139B5FF7"/>
    <w:rsid w:val="13C139A0"/>
    <w:rsid w:val="13DF3D6D"/>
    <w:rsid w:val="13F27EA5"/>
    <w:rsid w:val="14034A19"/>
    <w:rsid w:val="14134F80"/>
    <w:rsid w:val="14154F7D"/>
    <w:rsid w:val="142143C6"/>
    <w:rsid w:val="149A71DD"/>
    <w:rsid w:val="14B07217"/>
    <w:rsid w:val="14B300DF"/>
    <w:rsid w:val="14DF42CE"/>
    <w:rsid w:val="15361469"/>
    <w:rsid w:val="155E7F96"/>
    <w:rsid w:val="15DA49AD"/>
    <w:rsid w:val="15F3480C"/>
    <w:rsid w:val="1632157B"/>
    <w:rsid w:val="165C53E0"/>
    <w:rsid w:val="16841B69"/>
    <w:rsid w:val="169E6591"/>
    <w:rsid w:val="174A085C"/>
    <w:rsid w:val="179C4E58"/>
    <w:rsid w:val="17A17CAD"/>
    <w:rsid w:val="17BA29F1"/>
    <w:rsid w:val="17D46758"/>
    <w:rsid w:val="17E4217F"/>
    <w:rsid w:val="17F2124D"/>
    <w:rsid w:val="182C4086"/>
    <w:rsid w:val="18433BAF"/>
    <w:rsid w:val="185C1315"/>
    <w:rsid w:val="18620BBE"/>
    <w:rsid w:val="18B0755F"/>
    <w:rsid w:val="18E756FF"/>
    <w:rsid w:val="18E87B7E"/>
    <w:rsid w:val="190514FA"/>
    <w:rsid w:val="19264C57"/>
    <w:rsid w:val="192852A0"/>
    <w:rsid w:val="192B19E2"/>
    <w:rsid w:val="192E72AC"/>
    <w:rsid w:val="193863AB"/>
    <w:rsid w:val="19584CD8"/>
    <w:rsid w:val="19C10819"/>
    <w:rsid w:val="1A5709C7"/>
    <w:rsid w:val="1A721607"/>
    <w:rsid w:val="1A905E1C"/>
    <w:rsid w:val="1ABB42C8"/>
    <w:rsid w:val="1AD811E8"/>
    <w:rsid w:val="1AF522D1"/>
    <w:rsid w:val="1AF548E7"/>
    <w:rsid w:val="1B073347"/>
    <w:rsid w:val="1B317B8C"/>
    <w:rsid w:val="1B785D06"/>
    <w:rsid w:val="1B7C15EC"/>
    <w:rsid w:val="1B8A1BB0"/>
    <w:rsid w:val="1B8D42FD"/>
    <w:rsid w:val="1BCB2AF2"/>
    <w:rsid w:val="1BD03E3B"/>
    <w:rsid w:val="1BD41FEA"/>
    <w:rsid w:val="1C4A1983"/>
    <w:rsid w:val="1C511380"/>
    <w:rsid w:val="1C734FD7"/>
    <w:rsid w:val="1C916DD5"/>
    <w:rsid w:val="1C99665F"/>
    <w:rsid w:val="1C9D42EC"/>
    <w:rsid w:val="1CBF4F85"/>
    <w:rsid w:val="1CD043D8"/>
    <w:rsid w:val="1CD240FC"/>
    <w:rsid w:val="1CEF1236"/>
    <w:rsid w:val="1D1A42BC"/>
    <w:rsid w:val="1D295067"/>
    <w:rsid w:val="1D46443D"/>
    <w:rsid w:val="1D4B35C0"/>
    <w:rsid w:val="1D5D3A33"/>
    <w:rsid w:val="1D8A1835"/>
    <w:rsid w:val="1DE61FD7"/>
    <w:rsid w:val="1DE97E3F"/>
    <w:rsid w:val="1DEE50A4"/>
    <w:rsid w:val="1E1D392D"/>
    <w:rsid w:val="1E535EC4"/>
    <w:rsid w:val="1E6469EC"/>
    <w:rsid w:val="1ED73CAE"/>
    <w:rsid w:val="1EF967D8"/>
    <w:rsid w:val="1F322A6D"/>
    <w:rsid w:val="1F670606"/>
    <w:rsid w:val="1FA56B62"/>
    <w:rsid w:val="200E07A5"/>
    <w:rsid w:val="200F0904"/>
    <w:rsid w:val="20556128"/>
    <w:rsid w:val="20645AD8"/>
    <w:rsid w:val="20B406B6"/>
    <w:rsid w:val="20BE63DA"/>
    <w:rsid w:val="20E346EA"/>
    <w:rsid w:val="21220212"/>
    <w:rsid w:val="2150252C"/>
    <w:rsid w:val="21805850"/>
    <w:rsid w:val="221B331C"/>
    <w:rsid w:val="226C7032"/>
    <w:rsid w:val="22716809"/>
    <w:rsid w:val="22B37958"/>
    <w:rsid w:val="22C73EC1"/>
    <w:rsid w:val="22C878F0"/>
    <w:rsid w:val="22F83C5D"/>
    <w:rsid w:val="22F91A6D"/>
    <w:rsid w:val="23077885"/>
    <w:rsid w:val="232F579C"/>
    <w:rsid w:val="239A4944"/>
    <w:rsid w:val="23DE19C3"/>
    <w:rsid w:val="24036598"/>
    <w:rsid w:val="240A3FB1"/>
    <w:rsid w:val="24190EA7"/>
    <w:rsid w:val="2422656D"/>
    <w:rsid w:val="242E55BD"/>
    <w:rsid w:val="242F6724"/>
    <w:rsid w:val="24382AE5"/>
    <w:rsid w:val="245B35EC"/>
    <w:rsid w:val="246369F8"/>
    <w:rsid w:val="24644AA9"/>
    <w:rsid w:val="25312FF4"/>
    <w:rsid w:val="253C263F"/>
    <w:rsid w:val="2541705B"/>
    <w:rsid w:val="257E1C76"/>
    <w:rsid w:val="25FB011F"/>
    <w:rsid w:val="26056308"/>
    <w:rsid w:val="260720CB"/>
    <w:rsid w:val="260E3D2A"/>
    <w:rsid w:val="26396B45"/>
    <w:rsid w:val="2677750B"/>
    <w:rsid w:val="267B37E1"/>
    <w:rsid w:val="273632E1"/>
    <w:rsid w:val="273F1CC7"/>
    <w:rsid w:val="27400F32"/>
    <w:rsid w:val="27694302"/>
    <w:rsid w:val="283E2778"/>
    <w:rsid w:val="28537A9F"/>
    <w:rsid w:val="286C45D2"/>
    <w:rsid w:val="287F1EF9"/>
    <w:rsid w:val="289954AF"/>
    <w:rsid w:val="28F34354"/>
    <w:rsid w:val="28F360D0"/>
    <w:rsid w:val="290A7424"/>
    <w:rsid w:val="290C5798"/>
    <w:rsid w:val="2941280B"/>
    <w:rsid w:val="294C02FF"/>
    <w:rsid w:val="296251D4"/>
    <w:rsid w:val="298D673D"/>
    <w:rsid w:val="298F46FA"/>
    <w:rsid w:val="29B53227"/>
    <w:rsid w:val="29B53FA9"/>
    <w:rsid w:val="29CD51EA"/>
    <w:rsid w:val="29DD21CD"/>
    <w:rsid w:val="2A286937"/>
    <w:rsid w:val="2A3E1998"/>
    <w:rsid w:val="2A652196"/>
    <w:rsid w:val="2A7A3D76"/>
    <w:rsid w:val="2A9D6262"/>
    <w:rsid w:val="2AC9227C"/>
    <w:rsid w:val="2ACE4F9F"/>
    <w:rsid w:val="2B103FFF"/>
    <w:rsid w:val="2B183996"/>
    <w:rsid w:val="2B7E05BD"/>
    <w:rsid w:val="2B844974"/>
    <w:rsid w:val="2B9B702D"/>
    <w:rsid w:val="2B9F13DD"/>
    <w:rsid w:val="2BA766EE"/>
    <w:rsid w:val="2BB71210"/>
    <w:rsid w:val="2BC430EA"/>
    <w:rsid w:val="2BCA5E85"/>
    <w:rsid w:val="2C1966D6"/>
    <w:rsid w:val="2C5C4E27"/>
    <w:rsid w:val="2C9C3278"/>
    <w:rsid w:val="2CAB1B6C"/>
    <w:rsid w:val="2CF866D2"/>
    <w:rsid w:val="2D2965F5"/>
    <w:rsid w:val="2D4F2BFF"/>
    <w:rsid w:val="2D6E755D"/>
    <w:rsid w:val="2D787E08"/>
    <w:rsid w:val="2DF77F18"/>
    <w:rsid w:val="2E182944"/>
    <w:rsid w:val="2E4864E4"/>
    <w:rsid w:val="2E5C1BEA"/>
    <w:rsid w:val="2E734F11"/>
    <w:rsid w:val="2E782F37"/>
    <w:rsid w:val="2E8904DC"/>
    <w:rsid w:val="2ED20EB2"/>
    <w:rsid w:val="2F141EC7"/>
    <w:rsid w:val="2F156716"/>
    <w:rsid w:val="2F1D1015"/>
    <w:rsid w:val="2F262C3C"/>
    <w:rsid w:val="2FA9282F"/>
    <w:rsid w:val="2FD039C9"/>
    <w:rsid w:val="2FDA2D2B"/>
    <w:rsid w:val="304F445E"/>
    <w:rsid w:val="305A0E69"/>
    <w:rsid w:val="307075E3"/>
    <w:rsid w:val="307E530B"/>
    <w:rsid w:val="30896975"/>
    <w:rsid w:val="30EB2896"/>
    <w:rsid w:val="3102785A"/>
    <w:rsid w:val="31096382"/>
    <w:rsid w:val="310F6FA5"/>
    <w:rsid w:val="3116670C"/>
    <w:rsid w:val="313602CA"/>
    <w:rsid w:val="313D60FD"/>
    <w:rsid w:val="318578BE"/>
    <w:rsid w:val="318614EC"/>
    <w:rsid w:val="31CE6C78"/>
    <w:rsid w:val="31F474E0"/>
    <w:rsid w:val="31F94366"/>
    <w:rsid w:val="31FF69D8"/>
    <w:rsid w:val="32225A7B"/>
    <w:rsid w:val="323E155A"/>
    <w:rsid w:val="32753877"/>
    <w:rsid w:val="329434BE"/>
    <w:rsid w:val="32967D23"/>
    <w:rsid w:val="32A63BFF"/>
    <w:rsid w:val="32BB071E"/>
    <w:rsid w:val="32C04EC8"/>
    <w:rsid w:val="32C321ED"/>
    <w:rsid w:val="32D0043D"/>
    <w:rsid w:val="32E0474C"/>
    <w:rsid w:val="32FA5BDC"/>
    <w:rsid w:val="3317661D"/>
    <w:rsid w:val="33176E42"/>
    <w:rsid w:val="334120D7"/>
    <w:rsid w:val="340115BB"/>
    <w:rsid w:val="34331CBA"/>
    <w:rsid w:val="343D37B9"/>
    <w:rsid w:val="3493704D"/>
    <w:rsid w:val="34AF27F5"/>
    <w:rsid w:val="34BC3E02"/>
    <w:rsid w:val="34D417A8"/>
    <w:rsid w:val="34FF4843"/>
    <w:rsid w:val="354D1951"/>
    <w:rsid w:val="35504A43"/>
    <w:rsid w:val="358546FF"/>
    <w:rsid w:val="35864F62"/>
    <w:rsid w:val="35C9716F"/>
    <w:rsid w:val="35CD4DC3"/>
    <w:rsid w:val="35E60C71"/>
    <w:rsid w:val="36022945"/>
    <w:rsid w:val="361D4FC6"/>
    <w:rsid w:val="362929E6"/>
    <w:rsid w:val="36E377C6"/>
    <w:rsid w:val="36EF7CE4"/>
    <w:rsid w:val="37063A40"/>
    <w:rsid w:val="37097D65"/>
    <w:rsid w:val="3722221B"/>
    <w:rsid w:val="375112D1"/>
    <w:rsid w:val="37773177"/>
    <w:rsid w:val="377E6EA4"/>
    <w:rsid w:val="37843514"/>
    <w:rsid w:val="37A02542"/>
    <w:rsid w:val="37A9040B"/>
    <w:rsid w:val="37CC3DB0"/>
    <w:rsid w:val="37D4445C"/>
    <w:rsid w:val="37E5337D"/>
    <w:rsid w:val="37F16E5B"/>
    <w:rsid w:val="38037638"/>
    <w:rsid w:val="38121E78"/>
    <w:rsid w:val="38166203"/>
    <w:rsid w:val="38851D54"/>
    <w:rsid w:val="388F13DD"/>
    <w:rsid w:val="38AC5791"/>
    <w:rsid w:val="38BE3ADB"/>
    <w:rsid w:val="38DF5D7A"/>
    <w:rsid w:val="38E83892"/>
    <w:rsid w:val="391201C0"/>
    <w:rsid w:val="39515388"/>
    <w:rsid w:val="39810E5E"/>
    <w:rsid w:val="39AF3C91"/>
    <w:rsid w:val="39B64AA0"/>
    <w:rsid w:val="39BF3C18"/>
    <w:rsid w:val="3A611520"/>
    <w:rsid w:val="3A6365EE"/>
    <w:rsid w:val="3A9264A6"/>
    <w:rsid w:val="3AD2490A"/>
    <w:rsid w:val="3AE447EA"/>
    <w:rsid w:val="3AF90653"/>
    <w:rsid w:val="3AFB5F9F"/>
    <w:rsid w:val="3AFC524D"/>
    <w:rsid w:val="3AFC7FF3"/>
    <w:rsid w:val="3B2C47FF"/>
    <w:rsid w:val="3B4554E6"/>
    <w:rsid w:val="3BA81F2B"/>
    <w:rsid w:val="3BB17134"/>
    <w:rsid w:val="3BFB5CE0"/>
    <w:rsid w:val="3C1379DD"/>
    <w:rsid w:val="3C162814"/>
    <w:rsid w:val="3C6447B9"/>
    <w:rsid w:val="3C69600A"/>
    <w:rsid w:val="3C6B6E69"/>
    <w:rsid w:val="3CA62E16"/>
    <w:rsid w:val="3CB35F0E"/>
    <w:rsid w:val="3CB91DC4"/>
    <w:rsid w:val="3CBC399B"/>
    <w:rsid w:val="3CD30C74"/>
    <w:rsid w:val="3D0E4E12"/>
    <w:rsid w:val="3DF50E8E"/>
    <w:rsid w:val="3DF777E2"/>
    <w:rsid w:val="3E0530B3"/>
    <w:rsid w:val="3E0715CB"/>
    <w:rsid w:val="3ECE5EA8"/>
    <w:rsid w:val="3EE3614C"/>
    <w:rsid w:val="3EF631B3"/>
    <w:rsid w:val="3EFA672A"/>
    <w:rsid w:val="3F3A2D26"/>
    <w:rsid w:val="3F3E0F19"/>
    <w:rsid w:val="3F7B24DD"/>
    <w:rsid w:val="3F912CA2"/>
    <w:rsid w:val="3F9F163E"/>
    <w:rsid w:val="3FA468A2"/>
    <w:rsid w:val="3FDE4552"/>
    <w:rsid w:val="3FEE576C"/>
    <w:rsid w:val="40070EDD"/>
    <w:rsid w:val="403D3D7D"/>
    <w:rsid w:val="40402AA3"/>
    <w:rsid w:val="404B1EC6"/>
    <w:rsid w:val="40874F99"/>
    <w:rsid w:val="40887163"/>
    <w:rsid w:val="409F50DB"/>
    <w:rsid w:val="40BC5510"/>
    <w:rsid w:val="40EC633C"/>
    <w:rsid w:val="4115722C"/>
    <w:rsid w:val="41176B07"/>
    <w:rsid w:val="4144412E"/>
    <w:rsid w:val="41954232"/>
    <w:rsid w:val="41A752B0"/>
    <w:rsid w:val="421E79EE"/>
    <w:rsid w:val="4228105F"/>
    <w:rsid w:val="428A36D4"/>
    <w:rsid w:val="42EA28A9"/>
    <w:rsid w:val="42EA7307"/>
    <w:rsid w:val="43282C85"/>
    <w:rsid w:val="434B2039"/>
    <w:rsid w:val="437C4F3D"/>
    <w:rsid w:val="43944BD6"/>
    <w:rsid w:val="439F1E59"/>
    <w:rsid w:val="43AC63D4"/>
    <w:rsid w:val="43AD23AA"/>
    <w:rsid w:val="43F16042"/>
    <w:rsid w:val="43F16753"/>
    <w:rsid w:val="43F415BC"/>
    <w:rsid w:val="43FB3FEE"/>
    <w:rsid w:val="44316386"/>
    <w:rsid w:val="44342CAD"/>
    <w:rsid w:val="447236BF"/>
    <w:rsid w:val="44753E8E"/>
    <w:rsid w:val="448376BD"/>
    <w:rsid w:val="44962580"/>
    <w:rsid w:val="44A756A4"/>
    <w:rsid w:val="44E54DBF"/>
    <w:rsid w:val="45132B42"/>
    <w:rsid w:val="451756D8"/>
    <w:rsid w:val="45396B1C"/>
    <w:rsid w:val="454434D6"/>
    <w:rsid w:val="455268F0"/>
    <w:rsid w:val="45B253FA"/>
    <w:rsid w:val="45C0105C"/>
    <w:rsid w:val="45C61239"/>
    <w:rsid w:val="45C81D51"/>
    <w:rsid w:val="45F6183E"/>
    <w:rsid w:val="46103318"/>
    <w:rsid w:val="467E084F"/>
    <w:rsid w:val="47783FC1"/>
    <w:rsid w:val="47BD3EBB"/>
    <w:rsid w:val="47D511E6"/>
    <w:rsid w:val="47EF5116"/>
    <w:rsid w:val="48286438"/>
    <w:rsid w:val="483E55F9"/>
    <w:rsid w:val="484C20D1"/>
    <w:rsid w:val="486F255B"/>
    <w:rsid w:val="48740B4F"/>
    <w:rsid w:val="488B0F09"/>
    <w:rsid w:val="48B42098"/>
    <w:rsid w:val="494D5978"/>
    <w:rsid w:val="49593CFB"/>
    <w:rsid w:val="49763676"/>
    <w:rsid w:val="49C055AC"/>
    <w:rsid w:val="49EF327C"/>
    <w:rsid w:val="4A035E73"/>
    <w:rsid w:val="4A2002DE"/>
    <w:rsid w:val="4A2C7863"/>
    <w:rsid w:val="4A6E1F29"/>
    <w:rsid w:val="4A8A3E52"/>
    <w:rsid w:val="4AA12128"/>
    <w:rsid w:val="4AB81E3E"/>
    <w:rsid w:val="4ADF1C94"/>
    <w:rsid w:val="4AF03817"/>
    <w:rsid w:val="4AF23E66"/>
    <w:rsid w:val="4B0D6082"/>
    <w:rsid w:val="4B241B27"/>
    <w:rsid w:val="4B403408"/>
    <w:rsid w:val="4B817F3D"/>
    <w:rsid w:val="4B910344"/>
    <w:rsid w:val="4BA50FDC"/>
    <w:rsid w:val="4BC403B6"/>
    <w:rsid w:val="4C0D65C3"/>
    <w:rsid w:val="4C2509CF"/>
    <w:rsid w:val="4C2E5CA0"/>
    <w:rsid w:val="4C9B51CB"/>
    <w:rsid w:val="4D113C72"/>
    <w:rsid w:val="4D3F3AA5"/>
    <w:rsid w:val="4D3F6A11"/>
    <w:rsid w:val="4D5400E2"/>
    <w:rsid w:val="4D543EF6"/>
    <w:rsid w:val="4D586EA3"/>
    <w:rsid w:val="4D5E69B8"/>
    <w:rsid w:val="4D664542"/>
    <w:rsid w:val="4D7B4DA3"/>
    <w:rsid w:val="4D7D6E3C"/>
    <w:rsid w:val="4D8826AD"/>
    <w:rsid w:val="4DA275C9"/>
    <w:rsid w:val="4DBE45EA"/>
    <w:rsid w:val="4DBE6E4F"/>
    <w:rsid w:val="4DC52BAB"/>
    <w:rsid w:val="4DE834F7"/>
    <w:rsid w:val="4E011D5F"/>
    <w:rsid w:val="4E4D27B6"/>
    <w:rsid w:val="4E5D538D"/>
    <w:rsid w:val="4EC856D0"/>
    <w:rsid w:val="4ED84D79"/>
    <w:rsid w:val="4F1B0C34"/>
    <w:rsid w:val="4F4206AF"/>
    <w:rsid w:val="4F5332E5"/>
    <w:rsid w:val="4FAA0DDE"/>
    <w:rsid w:val="4FB431E5"/>
    <w:rsid w:val="4FCB7A86"/>
    <w:rsid w:val="50083270"/>
    <w:rsid w:val="500E6938"/>
    <w:rsid w:val="50123B02"/>
    <w:rsid w:val="501B6D8B"/>
    <w:rsid w:val="504D1C4E"/>
    <w:rsid w:val="50682B03"/>
    <w:rsid w:val="50C91A80"/>
    <w:rsid w:val="50C94A6A"/>
    <w:rsid w:val="50D22D39"/>
    <w:rsid w:val="50D95324"/>
    <w:rsid w:val="512F799D"/>
    <w:rsid w:val="513409BB"/>
    <w:rsid w:val="514033D7"/>
    <w:rsid w:val="5163618F"/>
    <w:rsid w:val="518E3488"/>
    <w:rsid w:val="51970988"/>
    <w:rsid w:val="51A528F0"/>
    <w:rsid w:val="51B61BAC"/>
    <w:rsid w:val="51D042D5"/>
    <w:rsid w:val="520F77DD"/>
    <w:rsid w:val="526143D9"/>
    <w:rsid w:val="5265606A"/>
    <w:rsid w:val="529F75C7"/>
    <w:rsid w:val="52CD40EE"/>
    <w:rsid w:val="52E76359"/>
    <w:rsid w:val="53003B45"/>
    <w:rsid w:val="534D535A"/>
    <w:rsid w:val="53506570"/>
    <w:rsid w:val="5386498A"/>
    <w:rsid w:val="53A004BE"/>
    <w:rsid w:val="53A45F89"/>
    <w:rsid w:val="53C65A8E"/>
    <w:rsid w:val="53D56C12"/>
    <w:rsid w:val="53E2748F"/>
    <w:rsid w:val="53F74931"/>
    <w:rsid w:val="54152964"/>
    <w:rsid w:val="54203B7A"/>
    <w:rsid w:val="544B5129"/>
    <w:rsid w:val="545216CD"/>
    <w:rsid w:val="54C40140"/>
    <w:rsid w:val="551B4C15"/>
    <w:rsid w:val="55283860"/>
    <w:rsid w:val="55582CC1"/>
    <w:rsid w:val="55804207"/>
    <w:rsid w:val="55877395"/>
    <w:rsid w:val="55902F5B"/>
    <w:rsid w:val="55A85273"/>
    <w:rsid w:val="55D56399"/>
    <w:rsid w:val="561E02DC"/>
    <w:rsid w:val="56CE58FF"/>
    <w:rsid w:val="5781417E"/>
    <w:rsid w:val="578F65B8"/>
    <w:rsid w:val="579869EB"/>
    <w:rsid w:val="57AD4FAF"/>
    <w:rsid w:val="58453DAA"/>
    <w:rsid w:val="58563F1A"/>
    <w:rsid w:val="58724E29"/>
    <w:rsid w:val="588A05A3"/>
    <w:rsid w:val="58E54167"/>
    <w:rsid w:val="58EA344C"/>
    <w:rsid w:val="58EF062B"/>
    <w:rsid w:val="590D00D6"/>
    <w:rsid w:val="5915738B"/>
    <w:rsid w:val="59163376"/>
    <w:rsid w:val="59312164"/>
    <w:rsid w:val="5966167B"/>
    <w:rsid w:val="59AA2749"/>
    <w:rsid w:val="59B7358A"/>
    <w:rsid w:val="5A501964"/>
    <w:rsid w:val="5AA11A30"/>
    <w:rsid w:val="5ADC6EA6"/>
    <w:rsid w:val="5B1105AA"/>
    <w:rsid w:val="5B1C39DF"/>
    <w:rsid w:val="5B1C5E30"/>
    <w:rsid w:val="5B2E40D4"/>
    <w:rsid w:val="5B3635C5"/>
    <w:rsid w:val="5B6332E4"/>
    <w:rsid w:val="5B6400F2"/>
    <w:rsid w:val="5C205294"/>
    <w:rsid w:val="5C2076FD"/>
    <w:rsid w:val="5C51383C"/>
    <w:rsid w:val="5CAD11ED"/>
    <w:rsid w:val="5CB471AB"/>
    <w:rsid w:val="5CCA1197"/>
    <w:rsid w:val="5CD6431E"/>
    <w:rsid w:val="5D185F83"/>
    <w:rsid w:val="5D655051"/>
    <w:rsid w:val="5D6D3CC9"/>
    <w:rsid w:val="5D8A69A9"/>
    <w:rsid w:val="5DBB67FD"/>
    <w:rsid w:val="5DC3171D"/>
    <w:rsid w:val="5DE3320A"/>
    <w:rsid w:val="5E423774"/>
    <w:rsid w:val="5E75648F"/>
    <w:rsid w:val="5E8367CC"/>
    <w:rsid w:val="5EBD36D7"/>
    <w:rsid w:val="5EE002F2"/>
    <w:rsid w:val="5F20705F"/>
    <w:rsid w:val="5F3906D8"/>
    <w:rsid w:val="5F5160AD"/>
    <w:rsid w:val="5F5376E8"/>
    <w:rsid w:val="5F9B1AD2"/>
    <w:rsid w:val="5FD82A4D"/>
    <w:rsid w:val="600930E9"/>
    <w:rsid w:val="60113107"/>
    <w:rsid w:val="60163F74"/>
    <w:rsid w:val="604B28F7"/>
    <w:rsid w:val="605D7F97"/>
    <w:rsid w:val="6086336A"/>
    <w:rsid w:val="60882695"/>
    <w:rsid w:val="608D6EEA"/>
    <w:rsid w:val="609766FD"/>
    <w:rsid w:val="609A3789"/>
    <w:rsid w:val="60CF68DB"/>
    <w:rsid w:val="60DE03AE"/>
    <w:rsid w:val="60E23C53"/>
    <w:rsid w:val="60F534B0"/>
    <w:rsid w:val="61035BDC"/>
    <w:rsid w:val="610F133C"/>
    <w:rsid w:val="61762F0A"/>
    <w:rsid w:val="619B7CAD"/>
    <w:rsid w:val="61B5065B"/>
    <w:rsid w:val="61CC2B86"/>
    <w:rsid w:val="61F14DE5"/>
    <w:rsid w:val="61F51999"/>
    <w:rsid w:val="61F94E92"/>
    <w:rsid w:val="61FF4003"/>
    <w:rsid w:val="622E353B"/>
    <w:rsid w:val="62744988"/>
    <w:rsid w:val="629F42B0"/>
    <w:rsid w:val="62D55DDE"/>
    <w:rsid w:val="6306425A"/>
    <w:rsid w:val="63094D88"/>
    <w:rsid w:val="633C21F7"/>
    <w:rsid w:val="63747BCE"/>
    <w:rsid w:val="63CC480F"/>
    <w:rsid w:val="6413313C"/>
    <w:rsid w:val="64452CDD"/>
    <w:rsid w:val="644A6076"/>
    <w:rsid w:val="64780A72"/>
    <w:rsid w:val="647810FA"/>
    <w:rsid w:val="64813839"/>
    <w:rsid w:val="6496754A"/>
    <w:rsid w:val="64D831B7"/>
    <w:rsid w:val="652637F0"/>
    <w:rsid w:val="65422C1B"/>
    <w:rsid w:val="659D62AB"/>
    <w:rsid w:val="65B73522"/>
    <w:rsid w:val="65BD2277"/>
    <w:rsid w:val="65ED0462"/>
    <w:rsid w:val="661656B2"/>
    <w:rsid w:val="66263422"/>
    <w:rsid w:val="667F1F49"/>
    <w:rsid w:val="66D828CA"/>
    <w:rsid w:val="66E76FFC"/>
    <w:rsid w:val="671416FE"/>
    <w:rsid w:val="6723394E"/>
    <w:rsid w:val="67323472"/>
    <w:rsid w:val="674B1DC6"/>
    <w:rsid w:val="67580361"/>
    <w:rsid w:val="679A5274"/>
    <w:rsid w:val="67A214EE"/>
    <w:rsid w:val="68166715"/>
    <w:rsid w:val="6865141C"/>
    <w:rsid w:val="68701D5D"/>
    <w:rsid w:val="68704519"/>
    <w:rsid w:val="68787D25"/>
    <w:rsid w:val="687C0987"/>
    <w:rsid w:val="68C25CF8"/>
    <w:rsid w:val="68CF1084"/>
    <w:rsid w:val="690E72A5"/>
    <w:rsid w:val="692D6723"/>
    <w:rsid w:val="69326C8F"/>
    <w:rsid w:val="6958242D"/>
    <w:rsid w:val="69BB3656"/>
    <w:rsid w:val="69C72472"/>
    <w:rsid w:val="6A1B1D42"/>
    <w:rsid w:val="6A494193"/>
    <w:rsid w:val="6A517B51"/>
    <w:rsid w:val="6A521959"/>
    <w:rsid w:val="6A754B79"/>
    <w:rsid w:val="6AD94C63"/>
    <w:rsid w:val="6AF13094"/>
    <w:rsid w:val="6AF7605C"/>
    <w:rsid w:val="6B132963"/>
    <w:rsid w:val="6B5E2AB9"/>
    <w:rsid w:val="6B9E2F96"/>
    <w:rsid w:val="6BEB548B"/>
    <w:rsid w:val="6C0B4A12"/>
    <w:rsid w:val="6C642EF4"/>
    <w:rsid w:val="6C8C5DA6"/>
    <w:rsid w:val="6CA623F4"/>
    <w:rsid w:val="6CAF3D2C"/>
    <w:rsid w:val="6D2F2DFC"/>
    <w:rsid w:val="6D545096"/>
    <w:rsid w:val="6D5E4E99"/>
    <w:rsid w:val="6DC87CB1"/>
    <w:rsid w:val="6DCA5140"/>
    <w:rsid w:val="6DD21B5E"/>
    <w:rsid w:val="6E013EB5"/>
    <w:rsid w:val="6E12362B"/>
    <w:rsid w:val="6E6C1F71"/>
    <w:rsid w:val="6E756584"/>
    <w:rsid w:val="6E912D99"/>
    <w:rsid w:val="6EAD71AE"/>
    <w:rsid w:val="6EB80C41"/>
    <w:rsid w:val="6EDB7E0D"/>
    <w:rsid w:val="6F0E1D5F"/>
    <w:rsid w:val="6F2A232B"/>
    <w:rsid w:val="6F521812"/>
    <w:rsid w:val="6F536EFE"/>
    <w:rsid w:val="6F7C1E6A"/>
    <w:rsid w:val="6F852AAF"/>
    <w:rsid w:val="6FA97FDD"/>
    <w:rsid w:val="703D6ECF"/>
    <w:rsid w:val="70726C98"/>
    <w:rsid w:val="709B2AE0"/>
    <w:rsid w:val="70B14B02"/>
    <w:rsid w:val="70BD617E"/>
    <w:rsid w:val="712341D2"/>
    <w:rsid w:val="713D42B5"/>
    <w:rsid w:val="716D7E19"/>
    <w:rsid w:val="718D7161"/>
    <w:rsid w:val="719750D1"/>
    <w:rsid w:val="71BB61DB"/>
    <w:rsid w:val="71D03BBA"/>
    <w:rsid w:val="71ED1238"/>
    <w:rsid w:val="71F624A9"/>
    <w:rsid w:val="720F594F"/>
    <w:rsid w:val="721F6DCC"/>
    <w:rsid w:val="7237605D"/>
    <w:rsid w:val="724A3CBA"/>
    <w:rsid w:val="733F0AB4"/>
    <w:rsid w:val="734B3863"/>
    <w:rsid w:val="734E1E1E"/>
    <w:rsid w:val="738A2250"/>
    <w:rsid w:val="739C1E48"/>
    <w:rsid w:val="73AB29D3"/>
    <w:rsid w:val="73C40F4B"/>
    <w:rsid w:val="73D646D5"/>
    <w:rsid w:val="73D72F6C"/>
    <w:rsid w:val="745129F0"/>
    <w:rsid w:val="74941387"/>
    <w:rsid w:val="74F22EA9"/>
    <w:rsid w:val="753B5F12"/>
    <w:rsid w:val="753D60ED"/>
    <w:rsid w:val="75FE1077"/>
    <w:rsid w:val="76123C53"/>
    <w:rsid w:val="763161FD"/>
    <w:rsid w:val="763B5D69"/>
    <w:rsid w:val="76522D99"/>
    <w:rsid w:val="767354D2"/>
    <w:rsid w:val="76B512F0"/>
    <w:rsid w:val="772B583D"/>
    <w:rsid w:val="7739194A"/>
    <w:rsid w:val="77647CBF"/>
    <w:rsid w:val="776A0501"/>
    <w:rsid w:val="77992CFD"/>
    <w:rsid w:val="77E470F3"/>
    <w:rsid w:val="77F3090B"/>
    <w:rsid w:val="781A19CA"/>
    <w:rsid w:val="78380EFC"/>
    <w:rsid w:val="784F6F39"/>
    <w:rsid w:val="786D0A19"/>
    <w:rsid w:val="78742C36"/>
    <w:rsid w:val="78791AE6"/>
    <w:rsid w:val="78823D28"/>
    <w:rsid w:val="78B7403F"/>
    <w:rsid w:val="78CD2379"/>
    <w:rsid w:val="78D84B27"/>
    <w:rsid w:val="79383C2A"/>
    <w:rsid w:val="7953702D"/>
    <w:rsid w:val="796B4576"/>
    <w:rsid w:val="798E5AE2"/>
    <w:rsid w:val="79925CE3"/>
    <w:rsid w:val="799C6B45"/>
    <w:rsid w:val="79A2619D"/>
    <w:rsid w:val="79D57374"/>
    <w:rsid w:val="79EB638E"/>
    <w:rsid w:val="79F022D3"/>
    <w:rsid w:val="79FE449E"/>
    <w:rsid w:val="7A4F70B5"/>
    <w:rsid w:val="7AA83207"/>
    <w:rsid w:val="7AD7285D"/>
    <w:rsid w:val="7B17645F"/>
    <w:rsid w:val="7B613DB2"/>
    <w:rsid w:val="7B654490"/>
    <w:rsid w:val="7B774072"/>
    <w:rsid w:val="7BA50583"/>
    <w:rsid w:val="7BFE0E02"/>
    <w:rsid w:val="7C2112D1"/>
    <w:rsid w:val="7C3373F4"/>
    <w:rsid w:val="7CE15EAE"/>
    <w:rsid w:val="7D0849BB"/>
    <w:rsid w:val="7D332DAD"/>
    <w:rsid w:val="7D8D043A"/>
    <w:rsid w:val="7D956346"/>
    <w:rsid w:val="7DFC42CD"/>
    <w:rsid w:val="7E0B5DCB"/>
    <w:rsid w:val="7E164656"/>
    <w:rsid w:val="7E46614C"/>
    <w:rsid w:val="7E580D23"/>
    <w:rsid w:val="7E7D546E"/>
    <w:rsid w:val="7EB579C6"/>
    <w:rsid w:val="7EC4084F"/>
    <w:rsid w:val="7EC54453"/>
    <w:rsid w:val="7ECC78E7"/>
    <w:rsid w:val="7ECF1B7C"/>
    <w:rsid w:val="7EE3352B"/>
    <w:rsid w:val="7FBF1B62"/>
    <w:rsid w:val="7FD609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2">
    <w:name w:val="heading 3"/>
    <w:basedOn w:val="1"/>
    <w:next w:val="1"/>
    <w:qFormat/>
    <w:locked/>
    <w:uiPriority w:val="0"/>
    <w:pPr>
      <w:keepNext/>
      <w:keepLines/>
      <w:spacing w:line="413" w:lineRule="auto"/>
      <w:outlineLvl w:val="2"/>
    </w:pPr>
    <w:rPr>
      <w:rFonts w:ascii="Times New Roman" w:hAnsi="Times New Roman" w:eastAsia="宋体" w:cs="Times New Roman"/>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99"/>
    <w:rPr>
      <w:sz w:val="18"/>
      <w:szCs w:val="18"/>
    </w:rPr>
  </w:style>
  <w:style w:type="paragraph" w:styleId="4">
    <w:name w:val="footer"/>
    <w:basedOn w:val="1"/>
    <w:link w:val="8"/>
    <w:qFormat/>
    <w:uiPriority w:val="99"/>
    <w:pPr>
      <w:tabs>
        <w:tab w:val="center" w:pos="4153"/>
        <w:tab w:val="right" w:pos="8306"/>
      </w:tabs>
      <w:snapToGrid w:val="0"/>
      <w:jc w:val="left"/>
    </w:pPr>
    <w:rPr>
      <w:sz w:val="18"/>
    </w:rPr>
  </w:style>
  <w:style w:type="paragraph" w:styleId="5">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Footer Char"/>
    <w:basedOn w:val="7"/>
    <w:link w:val="4"/>
    <w:semiHidden/>
    <w:qFormat/>
    <w:locked/>
    <w:uiPriority w:val="99"/>
    <w:rPr>
      <w:rFonts w:cs="Times New Roman"/>
      <w:sz w:val="18"/>
      <w:szCs w:val="18"/>
    </w:rPr>
  </w:style>
  <w:style w:type="character" w:customStyle="1" w:styleId="9">
    <w:name w:val="Header Char"/>
    <w:basedOn w:val="7"/>
    <w:link w:val="5"/>
    <w:semiHidden/>
    <w:qFormat/>
    <w:locked/>
    <w:uiPriority w:val="99"/>
    <w:rPr>
      <w:rFonts w:cs="Times New Roman"/>
      <w:sz w:val="18"/>
      <w:szCs w:val="18"/>
    </w:rPr>
  </w:style>
  <w:style w:type="paragraph" w:customStyle="1" w:styleId="10">
    <w:name w:val="Char"/>
    <w:basedOn w:val="1"/>
    <w:qFormat/>
    <w:uiPriority w:val="99"/>
    <w:rPr>
      <w:rFonts w:ascii="Times New Roman" w:hAnsi="Times New Roman" w:cs="Times New Roman"/>
      <w:szCs w:val="21"/>
    </w:rPr>
  </w:style>
  <w:style w:type="character" w:customStyle="1" w:styleId="11">
    <w:name w:val="Balloon Text Char"/>
    <w:basedOn w:val="7"/>
    <w:link w:val="3"/>
    <w:qFormat/>
    <w:locked/>
    <w:uiPriority w:val="99"/>
    <w:rPr>
      <w:rFonts w:cs="Times New Roman"/>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正文 New New New"/>
    <w:qFormat/>
    <w:uiPriority w:val="0"/>
    <w:pPr>
      <w:widowControl w:val="0"/>
      <w:jc w:val="both"/>
    </w:pPr>
    <w:rPr>
      <w:rFonts w:ascii="仿宋_GB2312" w:hAnsi="仿宋_GB2312" w:eastAsia="仿宋_GB2312" w:cs="仿宋_GB2312"/>
      <w:kern w:val="2"/>
      <w:sz w:val="32"/>
      <w:szCs w:val="32"/>
      <w:lang w:val="en-US" w:eastAsia="zh-CN" w:bidi="ar-SA"/>
    </w:rPr>
  </w:style>
  <w:style w:type="paragraph" w:customStyle="1" w:styleId="14">
    <w:name w:val="正文 New New New New New"/>
    <w:qFormat/>
    <w:uiPriority w:val="0"/>
    <w:pPr>
      <w:widowControl w:val="0"/>
      <w:jc w:val="both"/>
    </w:pPr>
    <w:rPr>
      <w:rFonts w:ascii="仿宋_GB2312" w:hAnsi="仿宋_GB2312" w:eastAsia="仿宋_GB2312" w:cs="仿宋_GB2312"/>
      <w:kern w:val="2"/>
      <w:sz w:val="32"/>
      <w:szCs w:val="32"/>
      <w:lang w:val="en-US" w:eastAsia="zh-CN" w:bidi="ar-SA"/>
    </w:rPr>
  </w:style>
  <w:style w:type="paragraph" w:customStyle="1" w:styleId="15">
    <w:name w:val="正文 New New New New New New New"/>
    <w:qFormat/>
    <w:uiPriority w:val="0"/>
    <w:pPr>
      <w:widowControl w:val="0"/>
      <w:jc w:val="both"/>
    </w:pPr>
    <w:rPr>
      <w:rFonts w:ascii="仿宋_GB2312" w:hAnsi="仿宋_GB2312" w:eastAsia="仿宋_GB2312" w:cs="仿宋_GB2312"/>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877</Words>
  <Characters>5000</Characters>
  <Lines>0</Lines>
  <Paragraphs>0</Paragraphs>
  <TotalTime>53</TotalTime>
  <ScaleCrop>false</ScaleCrop>
  <LinksUpToDate>false</LinksUpToDate>
  <CharactersWithSpaces>0</CharactersWithSpaces>
  <Application>WPS Office_11.1.0.9678_F1E327BC-269C-435d-A152-05C5408002CA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2018-07-05T00:47:00Z</dcterms:created>
  <dc:creator>Administrator</dc:creator>
  <cp:lastModifiedBy>蓝菀</cp:lastModifiedBy>
  <cp:lastPrinted>2020-05-27T01:54:57Z</cp:lastPrinted>
  <dcterms:modified xsi:type="dcterms:W3CDTF">2020-05-27T01:56:34Z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