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</w:p>
    <w:p>
      <w:pPr>
        <w:pStyle w:val="18"/>
        <w:jc w:val="center"/>
        <w:rPr>
          <w:rFonts w:ascii="方正小标宋简体" w:hAnsi="宋体" w:eastAsia="方正小标宋简体"/>
          <w:color w:val="000000"/>
          <w:sz w:val="44"/>
          <w:szCs w:val="40"/>
        </w:rPr>
      </w:pPr>
      <w:r>
        <w:rPr>
          <w:rFonts w:hint="eastAsia" w:ascii="方正小标宋简体" w:hAnsi="宋体" w:eastAsia="方正小标宋简体"/>
          <w:color w:val="000000"/>
          <w:sz w:val="44"/>
          <w:szCs w:val="40"/>
        </w:rPr>
        <w:t>202</w:t>
      </w:r>
      <w:r>
        <w:rPr>
          <w:rFonts w:hint="eastAsia" w:ascii="方正小标宋简体" w:hAnsi="宋体" w:eastAsia="方正小标宋简体"/>
          <w:color w:val="000000"/>
          <w:sz w:val="44"/>
          <w:szCs w:val="40"/>
          <w:lang w:val="en-US" w:eastAsia="zh-CN"/>
        </w:rPr>
        <w:t>3</w:t>
      </w:r>
      <w:r>
        <w:rPr>
          <w:rFonts w:hint="eastAsia" w:ascii="方正小标宋简体" w:hAnsi="宋体" w:eastAsia="方正小标宋简体"/>
          <w:color w:val="000000"/>
          <w:sz w:val="44"/>
          <w:szCs w:val="40"/>
        </w:rPr>
        <w:t>年龙湖区国民经济和社会发展统计公报</w:t>
      </w:r>
    </w:p>
    <w:p>
      <w:pPr>
        <w:pStyle w:val="18"/>
        <w:jc w:val="center"/>
        <w:rPr>
          <w:rFonts w:ascii="方正楷体简体" w:hAnsi="楷体" w:eastAsia="方正楷体简体"/>
          <w:color w:val="000000"/>
          <w:sz w:val="32"/>
          <w:szCs w:val="32"/>
        </w:rPr>
      </w:pPr>
    </w:p>
    <w:p>
      <w:pPr>
        <w:pStyle w:val="18"/>
        <w:jc w:val="center"/>
        <w:rPr>
          <w:rFonts w:hint="eastAsia" w:ascii="方正楷体简体" w:hAnsi="楷体" w:eastAsia="方正楷体简体" w:cs="楷体"/>
          <w:color w:val="000000"/>
          <w:sz w:val="32"/>
          <w:szCs w:val="32"/>
        </w:rPr>
      </w:pPr>
      <w:r>
        <w:rPr>
          <w:rFonts w:hint="eastAsia" w:ascii="方正楷体简体" w:hAnsi="楷体" w:eastAsia="方正楷体简体" w:cs="楷体"/>
          <w:color w:val="000000"/>
          <w:sz w:val="32"/>
          <w:szCs w:val="32"/>
        </w:rPr>
        <w:t>龙湖区统计局</w:t>
      </w:r>
    </w:p>
    <w:p>
      <w:pPr>
        <w:pStyle w:val="18"/>
        <w:jc w:val="center"/>
        <w:rPr>
          <w:rFonts w:hint="eastAsia" w:ascii="方正楷体简体" w:hAnsi="楷体" w:eastAsia="方正楷体简体" w:cs="楷体"/>
          <w:color w:val="000000"/>
          <w:sz w:val="32"/>
          <w:szCs w:val="32"/>
          <w:lang w:eastAsia="zh-CN"/>
        </w:rPr>
      </w:pPr>
      <w:r>
        <w:rPr>
          <w:rFonts w:hint="eastAsia" w:ascii="方正楷体简体" w:hAnsi="楷体" w:eastAsia="方正楷体简体" w:cs="楷体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楷体简体" w:hAnsi="楷体" w:eastAsia="方正楷体简体" w:cs="楷体"/>
          <w:color w:val="000000"/>
          <w:sz w:val="32"/>
          <w:szCs w:val="32"/>
          <w:lang w:val="en-US" w:eastAsia="zh-CN"/>
        </w:rPr>
        <w:t>月）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黑体简体" w:hAnsi="Times New Roman" w:eastAsia="方正黑体简体" w:cs="Times New Roman"/>
          <w:color w:val="00000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color w:val="000000"/>
          <w:sz w:val="32"/>
          <w:szCs w:val="32"/>
        </w:rPr>
        <w:t>一、地区生产总值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简体" w:cs="Times New Roman"/>
          <w:color w:val="000000"/>
          <w:sz w:val="32"/>
          <w:szCs w:val="32"/>
          <w:highlight w:val="yellow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据市统计局统一核算，全区实现地区生产总值（初步核算数）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645.34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亿元，比上年增长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4.8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%。其中，第一产业增加值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8.82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亿元，增长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%；第二产业增加值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225.81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亿元，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6.3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%，第二产业中工业增加值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160.74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亿元，增长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8.1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%；第三产业增加值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410.71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亿元，增长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4.0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%。全区三次产业比例为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1.4:35.0: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63.6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  <w:highlight w:val="none"/>
        </w:rPr>
        <w:t>，与上年相比，第一产业比重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eastAsia="zh-CN"/>
        </w:rPr>
        <w:t>不变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  <w:highlight w:val="none"/>
        </w:rPr>
        <w:t>，第二产业比重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eastAsia="zh-CN"/>
        </w:rPr>
        <w:t>上升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0.2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  <w:highlight w:val="none"/>
        </w:rPr>
        <w:t>个百分点，第三产业比重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0.2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  <w:highlight w:val="none"/>
        </w:rPr>
        <w:t>个百分点。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eastAsia="zh-CN"/>
        </w:rPr>
        <w:t>全区人均地区生产总值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99559元，增长4.0%。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表  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年全区地区生产总值情况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ascii="Times New Roman" w:hAnsi="Times New Roman" w:eastAsia="方正仿宋简体" w:cs="Times New Roman"/>
          <w:sz w:val="32"/>
          <w:szCs w:val="32"/>
        </w:rPr>
      </w:pPr>
    </w:p>
    <w:tbl>
      <w:tblPr>
        <w:tblStyle w:val="13"/>
        <w:tblW w:w="8708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2"/>
        <w:gridCol w:w="2903"/>
        <w:gridCol w:w="290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02" w:type="dxa"/>
            <w:tcBorders>
              <w:bottom w:val="single" w:color="auto" w:sz="4" w:space="0"/>
            </w:tcBorders>
            <w:vAlign w:val="top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指标</w:t>
            </w:r>
          </w:p>
        </w:tc>
        <w:tc>
          <w:tcPr>
            <w:tcW w:w="2903" w:type="dxa"/>
            <w:tcBorders>
              <w:bottom w:val="single" w:color="auto" w:sz="4" w:space="0"/>
            </w:tcBorders>
            <w:vAlign w:val="top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全年完成（亿元）</w:t>
            </w:r>
          </w:p>
        </w:tc>
        <w:tc>
          <w:tcPr>
            <w:tcW w:w="2903" w:type="dxa"/>
            <w:tcBorders>
              <w:bottom w:val="single" w:color="auto" w:sz="4" w:space="0"/>
            </w:tcBorders>
            <w:vAlign w:val="top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全年增速（%）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90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outlineLvl w:val="9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地区生产总值</w:t>
            </w:r>
          </w:p>
        </w:tc>
        <w:tc>
          <w:tcPr>
            <w:tcW w:w="290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645.34</w:t>
            </w:r>
          </w:p>
        </w:tc>
        <w:tc>
          <w:tcPr>
            <w:tcW w:w="290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9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outlineLvl w:val="9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 xml:space="preserve">  第一产业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8.82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9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outlineLvl w:val="9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 xml:space="preserve">  第二产业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225.81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9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outlineLvl w:val="9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 xml:space="preserve">  第三产业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410.71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9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outlineLvl w:val="9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按主要行业分：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9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outlineLvl w:val="9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 xml:space="preserve">  农林牧渔业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10.04 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9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outlineLvl w:val="9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 xml:space="preserve">  工业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160.74 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9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outlineLvl w:val="9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 xml:space="preserve">  建筑业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65.15 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9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outlineLvl w:val="9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 xml:space="preserve">  批发和零售业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89.49 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9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outlineLvl w:val="9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 xml:space="preserve">  交通运输、仓储和邮政业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32.28 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9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outlineLvl w:val="9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 xml:space="preserve">  住宿和餐饮业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10.28 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9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outlineLvl w:val="9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 xml:space="preserve">  金融业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63.14 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9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outlineLvl w:val="9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 xml:space="preserve">  房地产业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67.92 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-0.2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9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outlineLvl w:val="9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 xml:space="preserve">  其他服务业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146.30 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5.0 </w:t>
            </w:r>
          </w:p>
        </w:tc>
      </w:tr>
    </w:tbl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outlineLvl w:val="9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outlineLvl w:val="9"/>
        <w:rPr>
          <w:rFonts w:ascii="方正黑体简体" w:hAnsi="Times New Roman" w:eastAsia="方正黑体简体" w:cs="Times New Roman"/>
          <w:color w:val="000000"/>
          <w:sz w:val="32"/>
          <w:szCs w:val="32"/>
        </w:rPr>
      </w:pPr>
      <w:r>
        <w:rPr>
          <w:rFonts w:ascii="方正黑体简体" w:hAnsi="Times New Roman" w:eastAsia="方正黑体简体" w:cs="Times New Roman"/>
          <w:color w:val="000000"/>
          <w:sz w:val="32"/>
          <w:szCs w:val="32"/>
        </w:rPr>
        <w:t>二、农业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eastAsia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hint="eastAsia"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202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3</w:t>
      </w:r>
      <w:r>
        <w:rPr>
          <w:rFonts w:eastAsia="方正仿宋简体"/>
          <w:color w:val="000000"/>
          <w:sz w:val="32"/>
          <w:szCs w:val="32"/>
        </w:rPr>
        <w:t>年农业生产继续保持稳步发展。全年全区完成农林牧渔业总产值1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7.96</w:t>
      </w:r>
      <w:r>
        <w:rPr>
          <w:rFonts w:eastAsia="方正仿宋简体"/>
          <w:color w:val="000000"/>
          <w:sz w:val="32"/>
          <w:szCs w:val="32"/>
        </w:rPr>
        <w:t>亿元，增长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3.9</w:t>
      </w:r>
      <w:r>
        <w:rPr>
          <w:rFonts w:eastAsia="方正仿宋简体"/>
          <w:color w:val="000000"/>
          <w:sz w:val="32"/>
          <w:szCs w:val="32"/>
        </w:rPr>
        <w:t>%。</w:t>
      </w:r>
      <w:r>
        <w:rPr>
          <w:rFonts w:hint="eastAsia" w:eastAsia="方正仿宋简体"/>
          <w:color w:val="000000"/>
          <w:sz w:val="32"/>
          <w:szCs w:val="32"/>
        </w:rPr>
        <w:t>其中农业产值9.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70</w:t>
      </w:r>
      <w:r>
        <w:rPr>
          <w:rFonts w:hint="eastAsia" w:eastAsia="方正仿宋简体"/>
          <w:color w:val="000000"/>
          <w:sz w:val="32"/>
          <w:szCs w:val="32"/>
        </w:rPr>
        <w:t>亿元，同比增长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2.6</w:t>
      </w:r>
      <w:r>
        <w:rPr>
          <w:rFonts w:hint="eastAsia" w:eastAsia="方正仿宋简体"/>
          <w:color w:val="000000"/>
          <w:sz w:val="32"/>
          <w:szCs w:val="32"/>
        </w:rPr>
        <w:t>%；牧业产值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4.03</w:t>
      </w:r>
      <w:r>
        <w:rPr>
          <w:rFonts w:hint="eastAsia" w:eastAsia="方正仿宋简体"/>
          <w:color w:val="000000"/>
          <w:sz w:val="32"/>
          <w:szCs w:val="32"/>
        </w:rPr>
        <w:t>亿元，同比增长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方正仿宋简体"/>
          <w:color w:val="000000"/>
          <w:sz w:val="32"/>
          <w:szCs w:val="32"/>
        </w:rPr>
        <w:t>.3%；渔业产值1.6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方正仿宋简体"/>
          <w:color w:val="000000"/>
          <w:sz w:val="32"/>
          <w:szCs w:val="32"/>
        </w:rPr>
        <w:t>亿元，同比</w:t>
      </w:r>
      <w:r>
        <w:rPr>
          <w:rFonts w:hint="eastAsia" w:eastAsia="方正仿宋简体"/>
          <w:color w:val="000000"/>
          <w:sz w:val="32"/>
          <w:szCs w:val="32"/>
          <w:lang w:eastAsia="zh-CN"/>
        </w:rPr>
        <w:t>增长</w:t>
      </w:r>
      <w:r>
        <w:rPr>
          <w:rFonts w:hint="eastAsia" w:eastAsia="方正仿宋简体"/>
          <w:color w:val="000000"/>
          <w:sz w:val="32"/>
          <w:szCs w:val="32"/>
        </w:rPr>
        <w:t>1.2%；农林牧渔专业及辅助性活动产值2.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61</w:t>
      </w:r>
      <w:r>
        <w:rPr>
          <w:rFonts w:hint="eastAsia" w:eastAsia="方正仿宋简体"/>
          <w:color w:val="000000"/>
          <w:sz w:val="32"/>
          <w:szCs w:val="32"/>
        </w:rPr>
        <w:t>亿元，同比增长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19.2</w:t>
      </w:r>
      <w:r>
        <w:rPr>
          <w:rFonts w:hint="eastAsia" w:eastAsia="方正仿宋简体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eastAsia="方正仿宋简体"/>
          <w:color w:val="000000"/>
          <w:sz w:val="32"/>
          <w:szCs w:val="32"/>
          <w:highlight w:val="none"/>
        </w:rPr>
      </w:pPr>
      <w:r>
        <w:rPr>
          <w:rFonts w:eastAsia="方正仿宋简体"/>
          <w:color w:val="000000"/>
          <w:sz w:val="32"/>
          <w:szCs w:val="32"/>
          <w:highlight w:val="none"/>
        </w:rPr>
        <w:t>农作物总播种面积120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859</w:t>
      </w:r>
      <w:r>
        <w:rPr>
          <w:rFonts w:eastAsia="方正仿宋简体"/>
          <w:color w:val="000000"/>
          <w:sz w:val="32"/>
          <w:szCs w:val="32"/>
          <w:highlight w:val="none"/>
        </w:rPr>
        <w:t>亩。粮食作物播种面积4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2249</w:t>
      </w:r>
      <w:r>
        <w:rPr>
          <w:rFonts w:eastAsia="方正仿宋简体"/>
          <w:color w:val="000000"/>
          <w:sz w:val="32"/>
          <w:szCs w:val="32"/>
          <w:highlight w:val="none"/>
        </w:rPr>
        <w:t>亩，其中稻谷面积3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1226</w:t>
      </w:r>
      <w:r>
        <w:rPr>
          <w:rFonts w:eastAsia="方正仿宋简体"/>
          <w:color w:val="000000"/>
          <w:sz w:val="32"/>
          <w:szCs w:val="32"/>
          <w:highlight w:val="none"/>
        </w:rPr>
        <w:t>亩，玉米面积4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414</w:t>
      </w:r>
      <w:r>
        <w:rPr>
          <w:rFonts w:eastAsia="方正仿宋简体"/>
          <w:color w:val="000000"/>
          <w:sz w:val="32"/>
          <w:szCs w:val="32"/>
          <w:highlight w:val="none"/>
        </w:rPr>
        <w:t>亩，大豆面积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78</w:t>
      </w:r>
      <w:r>
        <w:rPr>
          <w:rFonts w:eastAsia="方正仿宋简体"/>
          <w:color w:val="000000"/>
          <w:sz w:val="32"/>
          <w:szCs w:val="32"/>
          <w:highlight w:val="none"/>
        </w:rPr>
        <w:t>3亩，薯类面积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5826</w:t>
      </w:r>
      <w:r>
        <w:rPr>
          <w:rFonts w:eastAsia="方正仿宋简体"/>
          <w:color w:val="000000"/>
          <w:sz w:val="32"/>
          <w:szCs w:val="32"/>
          <w:highlight w:val="none"/>
        </w:rPr>
        <w:t>亩。经济作物面积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78610</w:t>
      </w:r>
      <w:r>
        <w:rPr>
          <w:rFonts w:eastAsia="方正仿宋简体"/>
          <w:color w:val="000000"/>
          <w:sz w:val="32"/>
          <w:szCs w:val="32"/>
          <w:highlight w:val="none"/>
        </w:rPr>
        <w:t>亩，其中花生面积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865</w:t>
      </w:r>
      <w:r>
        <w:rPr>
          <w:rFonts w:eastAsia="方正仿宋简体"/>
          <w:color w:val="000000"/>
          <w:sz w:val="32"/>
          <w:szCs w:val="32"/>
          <w:highlight w:val="none"/>
        </w:rPr>
        <w:t>亩，蔬菜面积77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493</w:t>
      </w:r>
      <w:r>
        <w:rPr>
          <w:rFonts w:eastAsia="方正仿宋简体"/>
          <w:color w:val="000000"/>
          <w:sz w:val="32"/>
          <w:szCs w:val="32"/>
          <w:highlight w:val="none"/>
        </w:rPr>
        <w:t>亩，</w:t>
      </w:r>
      <w:r>
        <w:rPr>
          <w:rFonts w:hint="eastAsia" w:eastAsia="方正仿宋简体"/>
          <w:color w:val="000000"/>
          <w:sz w:val="32"/>
          <w:szCs w:val="32"/>
          <w:highlight w:val="none"/>
        </w:rPr>
        <w:t>瓜果类（果用瓜）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139</w:t>
      </w:r>
      <w:r>
        <w:rPr>
          <w:rFonts w:eastAsia="方正仿宋简体"/>
          <w:color w:val="000000"/>
          <w:sz w:val="32"/>
          <w:szCs w:val="32"/>
          <w:highlight w:val="none"/>
        </w:rPr>
        <w:t>亩</w:t>
      </w:r>
      <w:r>
        <w:rPr>
          <w:rFonts w:hint="eastAsia" w:eastAsia="方正仿宋简体"/>
          <w:color w:val="000000"/>
          <w:sz w:val="32"/>
          <w:szCs w:val="32"/>
          <w:highlight w:val="none"/>
          <w:lang w:eastAsia="zh-CN"/>
        </w:rPr>
        <w:t>，其他农作物</w:t>
      </w: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113亩</w:t>
      </w:r>
      <w:r>
        <w:rPr>
          <w:rFonts w:eastAsia="方正仿宋简体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eastAsia="方正仿宋简体"/>
          <w:color w:val="000000"/>
          <w:sz w:val="32"/>
          <w:szCs w:val="32"/>
          <w:highlight w:val="none"/>
        </w:rPr>
      </w:pPr>
    </w:p>
    <w:tbl>
      <w:tblPr>
        <w:tblStyle w:val="12"/>
        <w:tblW w:w="85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8"/>
        <w:gridCol w:w="1728"/>
        <w:gridCol w:w="1096"/>
        <w:gridCol w:w="29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eastAsia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  <w:lang w:bidi="ar"/>
              </w:rPr>
              <w:t>年农业主要产品产量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产品名称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计量单位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产量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同比增长（%）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粮食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万吨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2.0</w:t>
            </w: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0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#稻谷</w:t>
            </w: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万吨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1.5</w:t>
            </w: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7</w:t>
            </w: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</w:t>
            </w:r>
          </w:p>
        </w:tc>
        <w:tc>
          <w:tcPr>
            <w:tcW w:w="2948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简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0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水果</w:t>
            </w: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万吨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简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0.</w:t>
            </w: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2948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简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144.6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0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肉类总产量</w:t>
            </w: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万吨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0.8</w:t>
            </w: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</w:t>
            </w:r>
          </w:p>
        </w:tc>
        <w:tc>
          <w:tcPr>
            <w:tcW w:w="2948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0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生猪出栏量</w:t>
            </w: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万头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0.</w:t>
            </w: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2948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-</w:t>
            </w: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42.7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0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家禽出栏量</w:t>
            </w: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万只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374.54</w:t>
            </w:r>
          </w:p>
        </w:tc>
        <w:tc>
          <w:tcPr>
            <w:tcW w:w="2948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0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禽蛋产量</w:t>
            </w: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万吨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0.0</w:t>
            </w: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9</w:t>
            </w: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</w:t>
            </w:r>
          </w:p>
        </w:tc>
        <w:tc>
          <w:tcPr>
            <w:tcW w:w="2948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0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水产品产量</w:t>
            </w: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万吨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0.98</w:t>
            </w: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</w:t>
            </w:r>
          </w:p>
        </w:tc>
        <w:tc>
          <w:tcPr>
            <w:tcW w:w="2948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简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0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#海水产品产量</w:t>
            </w: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万吨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0.</w:t>
            </w: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39</w:t>
            </w: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</w:t>
            </w:r>
          </w:p>
        </w:tc>
        <w:tc>
          <w:tcPr>
            <w:tcW w:w="2948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简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淡水产品产量</w:t>
            </w: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万吨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简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0.</w:t>
            </w: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59</w:t>
            </w:r>
          </w:p>
        </w:tc>
        <w:tc>
          <w:tcPr>
            <w:tcW w:w="294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方正仿宋简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-</w:t>
            </w:r>
            <w:r>
              <w:rPr>
                <w:rFonts w:hint="eastAsia" w:eastAsia="方正仿宋简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1.3</w:t>
            </w:r>
          </w:p>
        </w:tc>
      </w:tr>
    </w:tbl>
    <w:p>
      <w:pPr>
        <w:pStyle w:val="24"/>
        <w:jc w:val="left"/>
        <w:rPr>
          <w:rFonts w:hint="eastAsia" w:ascii="Times New Roman" w:hAnsi="Times New Roman" w:eastAsia="方正仿宋简体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  <w:t>备注：水果年末实有总产量包含瓜类（果用瓜）。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黑体简体" w:hAnsi="Times New Roman" w:eastAsia="方正黑体简体" w:cs="Times New Roman"/>
          <w:color w:val="000000"/>
          <w:sz w:val="32"/>
          <w:szCs w:val="32"/>
        </w:rPr>
      </w:pPr>
      <w:r>
        <w:rPr>
          <w:rFonts w:ascii="方正黑体简体" w:hAnsi="Times New Roman" w:eastAsia="方正黑体简体" w:cs="Times New Roman"/>
          <w:color w:val="000000"/>
          <w:sz w:val="32"/>
          <w:szCs w:val="32"/>
        </w:rPr>
        <w:t>三、工业和建筑业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 w:eastAsia="方正仿宋简体" w:cs="Times New Roman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2023年，全区规模以上工业企业307户，完成规模以上工业产值544.02亿元，增长7.7%；规模以上工业增加值100.32亿元，增长8.1%。在规模以上工业中，股份制企业增长6.4%，外商及港澳台商投资企业增长6.5%，其他经济类型企业增长66.9%。规模以上工业实现销售产值448.99亿元，增长1.0%，其中出口交货值79.07亿元，增长1.0%；工业产品销售率82.5%，下降7.2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</w:pPr>
    </w:p>
    <w:p>
      <w:r>
        <w:drawing>
          <wp:inline distT="0" distB="0" distL="114300" distR="114300">
            <wp:extent cx="5562600" cy="4224020"/>
            <wp:effectExtent l="4445" t="4445" r="14605" b="1968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全区建筑企业完成施工产值180.39亿元，下降30.1%，房屋建筑施工面积1025.92万平方米，房屋竣工产值118.45亿元。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1"/>
        <w:jc w:val="center"/>
        <w:textAlignment w:val="auto"/>
        <w:outlineLvl w:val="9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ascii="方正黑体简体" w:hAnsi="Times New Roman" w:eastAsia="方正黑体简体" w:cs="Times New Roman"/>
          <w:color w:val="000000"/>
          <w:sz w:val="32"/>
          <w:szCs w:val="32"/>
        </w:rPr>
        <w:t>四、固定资产投资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方正仿宋简体"/>
          <w:color w:val="000000"/>
          <w:sz w:val="32"/>
          <w:szCs w:val="32"/>
          <w:highlight w:val="none"/>
          <w:lang w:val="en-US" w:eastAsia="zh-CN"/>
        </w:rPr>
        <w:t>全年完成全社会固定资产投资额增长6.9%。其中房地产开发投资下降11.6%。（以下数据不含市直项目）全年固定资产投资建设项目382个，其中本年度新开工项目255个。本年度完成投资额在1000万元以上的项目233个，其中完成投资额在2000万元以上的项目146个，完成投资额在5000万元以上的项目有50个。</w:t>
      </w:r>
    </w:p>
    <w:p>
      <w:pPr>
        <w:pStyle w:val="19"/>
        <w:rPr>
          <w:rFonts w:ascii="Times New Roman" w:hAnsi="Times New Roman" w:eastAsia="方正仿宋简体" w:cs="Times New Roman"/>
          <w:b/>
          <w:color w:val="000000"/>
          <w:sz w:val="32"/>
          <w:szCs w:val="32"/>
        </w:rPr>
      </w:pPr>
      <w:r>
        <w:drawing>
          <wp:inline distT="0" distB="0" distL="114300" distR="114300">
            <wp:extent cx="5541645" cy="3407410"/>
            <wp:effectExtent l="4445" t="4445" r="16510" b="1714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五、国内贸易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社会消费品零售总额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311.43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%。全年限上汽车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零售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81.62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12.4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%。大型超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全年零售额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5.88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，下降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17.6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%。限上汽车零售、大型超市和餐饮零售额占全区社会消费品零售总额的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31.9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</w:p>
    <w:p>
      <w:pPr>
        <w:pStyle w:val="25"/>
        <w:spacing w:line="560" w:lineRule="exact"/>
        <w:rPr>
          <w:rFonts w:eastAsia="仿宋_GB2312"/>
          <w:sz w:val="32"/>
          <w:szCs w:val="32"/>
        </w:rPr>
      </w:pPr>
    </w:p>
    <w:p>
      <w:pPr>
        <w:pStyle w:val="25"/>
        <w:spacing w:line="560" w:lineRule="exact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48260</wp:posOffset>
            </wp:positionV>
            <wp:extent cx="5194300" cy="4479925"/>
            <wp:effectExtent l="0" t="0" r="6350" b="15875"/>
            <wp:wrapTopAndBottom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六、对外经济贸易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仿宋_GB2312" w:hAnsi="宋体" w:eastAsia="仿宋_GB2312"/>
          <w:b/>
          <w:color w:val="000000"/>
          <w:sz w:val="32"/>
          <w:szCs w:val="32"/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全年累计引进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外商直接投资</w:t>
      </w:r>
      <w:r>
        <w:rPr>
          <w:rFonts w:ascii="Times New Roman" w:hAnsi="Times New Roman" w:eastAsia="仿宋_GB2312" w:cs="Times New Roman"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 w:cs="Times New Roman"/>
          <w:sz w:val="32"/>
          <w:szCs w:val="32"/>
        </w:rPr>
        <w:t>宗，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3.9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合同外资金额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5.95</w:t>
      </w:r>
      <w:r>
        <w:rPr>
          <w:rFonts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294.8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；实际吸收外资金额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0.22亿</w:t>
      </w:r>
      <w:r>
        <w:rPr>
          <w:rFonts w:ascii="Times New Roman" w:hAnsi="Times New Roman" w:eastAsia="仿宋_GB2312" w:cs="Times New Roman"/>
          <w:sz w:val="32"/>
          <w:szCs w:val="32"/>
        </w:rPr>
        <w:t>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72.1</w:t>
      </w:r>
      <w:r>
        <w:rPr>
          <w:rFonts w:ascii="Times New Roman" w:hAnsi="Times New Roman" w:eastAsia="仿宋_GB2312" w:cs="Times New Roman"/>
          <w:sz w:val="32"/>
          <w:szCs w:val="32"/>
        </w:rPr>
        <w:t>%。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 w:eastAsia="方正仿宋简体" w:cs="Times New Roman"/>
          <w:b/>
          <w:color w:val="000000"/>
          <w:sz w:val="32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黑体简体" w:hAnsi="Times New Roman" w:eastAsia="方正黑体简体" w:cs="Times New Roman"/>
          <w:color w:val="000000"/>
          <w:sz w:val="32"/>
          <w:szCs w:val="32"/>
        </w:rPr>
      </w:pPr>
      <w:r>
        <w:rPr>
          <w:rFonts w:ascii="方正黑体简体" w:hAnsi="Times New Roman" w:eastAsia="方正黑体简体" w:cs="Times New Roman"/>
          <w:color w:val="000000"/>
          <w:sz w:val="32"/>
          <w:szCs w:val="32"/>
        </w:rPr>
        <w:t>七、财  政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800" w:firstLineChars="250"/>
        <w:textAlignment w:val="auto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全年实现一般公共预算收入累计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14.62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亿元，同比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4.1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%。其中，税收收入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11.59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亿元，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4.3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%，税收占比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79.3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%；非税收入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3.03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亿元，下降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3.5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%，非税占比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20.7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%。全年一般公共预算支出累计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28.35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亿元，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15.7</w:t>
      </w:r>
      <w:bookmarkStart w:id="0" w:name="_GoBack"/>
      <w:bookmarkEnd w:id="0"/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%。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25" w:firstLineChars="250"/>
        <w:textAlignment w:val="auto"/>
        <w:rPr>
          <w:rFonts w:ascii="Times New Roman" w:hAnsi="Times New Roman" w:eastAsia="方正仿宋简体" w:cs="Times New Roman"/>
        </w:rPr>
      </w:pP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ascii="方正黑体简体" w:hAnsi="Times New Roman" w:eastAsia="方正黑体简体" w:cs="Times New Roman"/>
          <w:color w:val="000000"/>
          <w:sz w:val="32"/>
          <w:szCs w:val="32"/>
        </w:rPr>
      </w:pPr>
      <w:r>
        <w:rPr>
          <w:rFonts w:ascii="方正黑体简体" w:hAnsi="Times New Roman" w:eastAsia="方正黑体简体" w:cs="Times New Roman"/>
          <w:color w:val="000000"/>
          <w:sz w:val="32"/>
          <w:szCs w:val="32"/>
        </w:rPr>
        <w:t>八、科技、教育、文化、卫生和体育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ascii="Times New Roman" w:hAnsi="Times New Roman" w:eastAsia="方正仿宋简体" w:cs="Times New Roman"/>
          <w:b/>
          <w:bCs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</w:rPr>
      </w:pPr>
      <w:r>
        <w:rPr>
          <w:rFonts w:hint="eastAsia" w:eastAsia="方正仿宋简体"/>
          <w:color w:val="000000"/>
          <w:sz w:val="32"/>
          <w:szCs w:val="32"/>
          <w:highlight w:val="none"/>
          <w:lang w:eastAsia="zh-CN"/>
        </w:rPr>
        <w:t>科技方面。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</w:rPr>
        <w:t>2023年</w:t>
      </w:r>
      <w:r>
        <w:rPr>
          <w:rFonts w:hint="eastAsia" w:eastAsia="方正仿宋简体"/>
          <w:color w:val="000000"/>
          <w:sz w:val="32"/>
          <w:szCs w:val="32"/>
          <w:highlight w:val="none"/>
          <w:lang w:eastAsia="zh-CN"/>
        </w:rPr>
        <w:t>龙湖区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</w:rPr>
        <w:t>共组织推荐58家企业申报高新技术企业认定，其中51家已获备案公示，133家企业申报科技型中小企业认定。汕头超声显示器技术有限公司的“广东省车载显示触控技术企业重点实验室”获省重点实验室认定，取得零的突破。8家企业获得2023年市级工程技术研究中心认定。9个项目获得2023年省科技创新战略专项市县科技创新支撑（大专项+任务清单）项目立项，其中重点产业关键核心技术攻关专题项目获得7项共280万元，列全市各区县第一。2023年1-12月全区专利授权量1980件，</w:t>
      </w:r>
      <w:r>
        <w:rPr>
          <w:rFonts w:hint="eastAsia" w:eastAsia="方正仿宋简体"/>
          <w:color w:val="000000"/>
          <w:sz w:val="32"/>
          <w:szCs w:val="32"/>
          <w:highlight w:val="none"/>
          <w:lang w:eastAsia="zh-CN"/>
        </w:rPr>
        <w:t>同比下降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</w:rPr>
        <w:t>10.85%，其中发明专利授权量175件，</w:t>
      </w:r>
      <w:r>
        <w:rPr>
          <w:rFonts w:hint="eastAsia" w:eastAsia="方正仿宋简体"/>
          <w:color w:val="000000"/>
          <w:sz w:val="32"/>
          <w:szCs w:val="32"/>
          <w:highlight w:val="none"/>
          <w:lang w:eastAsia="zh-CN"/>
        </w:rPr>
        <w:t>同比增长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</w:rPr>
        <w:t>48.31%。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Times New Roman" w:eastAsia="方正仿宋简体"/>
          <w:sz w:val="30"/>
          <w:szCs w:val="30"/>
          <w:highlight w:val="none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  <w:lang w:eastAsia="zh-CN"/>
        </w:rPr>
        <w:t>教育方面。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</w:rPr>
        <w:t>2023年全区有中小学校、幼儿园共250所，其中高级中学1所，完全中学6所，十二年一贯制2所，九年一贯制学校14所，初级中学6所，小学61所，幼儿园159所，特殊教育学校1所。公办中小学校76所，民办中小学校14所。全区在校学生、在园幼儿共134968人，其中普通高中学校10336人，初中生28437人，小学生68008人，在园幼儿28187人；全区有专任教师8981人，其中幼儿园专任教师2351人，小学专任教师3679人，初中专任教师2122人，普通高中专任教师829人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  <w:lang w:eastAsia="zh-CN"/>
        </w:rPr>
        <w:t>文化方面。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</w:rPr>
        <w:t>2023年，龙湖区图书馆总馆免费开放时长超过2856小时，24小时自助图书馆全天候开放。全年流通人次达20.06万人，图书流通册次达25.1万册。2023年图书馆上架新书1.2万册，新增办证读者606人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</w:rPr>
        <w:t>所有分馆服务点图书流通册数总数超过9万册。2023年，龙湖图书馆新增电子书3万册。龙湖图书馆在2023年上半年完成全国图书馆第七次评估实地评估任务，并连续第三次被评定为国家“一级图书馆”。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  <w:lang w:eastAsia="zh-CN"/>
        </w:rPr>
        <w:t>2023年，龙湖区文化馆全年线上线下共举办文化惠民活动33场，“全国旅游日”期间，举办为期一周的“潮彩龙湖 多元绽放”2023年龙湖区首届文化旅游节。五一及国庆假期期间，龙湖区A级景区游客接待量约5.5万人次，同比增长14%，收入284.4万，同比增长25%。截至目前，龙湖区共有非遗项目16个，其中国家级非遗项目1个，省级非遗项目4个，市级非遗项目11个。</w:t>
      </w:r>
    </w:p>
    <w:p>
      <w:pPr>
        <w:pStyle w:val="19"/>
        <w:ind w:firstLine="640"/>
        <w:jc w:val="left"/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</w:rPr>
        <w:t>卫生健康事业方面。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  <w:lang w:eastAsia="zh-CN"/>
        </w:rPr>
        <w:t>截至2023年12月底，全区拥有公立医院3个，社区医院2个，民营医院15个，门诊部53个、诊所及其他335个，农村卫生站33个。全区执业（助理）医师数1711人，注册护士数1782人，床位数2160张，每千人口占有床位3.37张。全区5家公立医院诊疗人数787690人次，同比减少7.28%。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方正仿宋简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  <w:lang w:val="en-US" w:eastAsia="zh-CN"/>
        </w:rPr>
        <w:t>体育方面。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highlight w:val="none"/>
          <w:lang w:eastAsia="zh-CN"/>
        </w:rPr>
        <w:t>2023年举行首届龙湖文化旅游节之“行万里碧道，赏绿美龙湖”万里碧道徒步活动，活动吸引各年龄段干部群众共300余人参与；组建区级龙舟队伍参加“赛龙夺锦 多彩侨乡”2023年汕头农行杯龙舟展演活动，斩获佳绩；举办龙湖区和美乡村青年篮球大赛（村BA），共有6个街道队伍参与比赛。12月24举办“2023年和平精英全国大赛总决赛”，参与人数、活动规模超过去年，曝光量超1.7亿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ascii="方正黑体简体" w:hAnsi="Times New Roman" w:eastAsia="方正黑体简体" w:cs="Times New Roman"/>
          <w:color w:val="000000"/>
          <w:sz w:val="32"/>
          <w:szCs w:val="32"/>
        </w:rPr>
      </w:pPr>
      <w:r>
        <w:rPr>
          <w:rFonts w:ascii="方正黑体简体" w:hAnsi="Times New Roman" w:eastAsia="方正黑体简体" w:cs="Times New Roman"/>
          <w:color w:val="000000"/>
          <w:sz w:val="32"/>
          <w:szCs w:val="32"/>
        </w:rPr>
        <w:t>九、</w:t>
      </w:r>
      <w:r>
        <w:rPr>
          <w:rFonts w:hint="eastAsia" w:ascii="方正黑体简体" w:hAnsi="Times New Roman" w:eastAsia="方正黑体简体" w:cs="Times New Roman"/>
          <w:color w:val="000000"/>
          <w:sz w:val="32"/>
          <w:szCs w:val="32"/>
        </w:rPr>
        <w:t>人口、人民生活、社会保障和安全生产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截至202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3</w:t>
      </w:r>
      <w:r>
        <w:rPr>
          <w:rFonts w:eastAsia="方正仿宋简体"/>
          <w:color w:val="000000"/>
          <w:sz w:val="32"/>
          <w:szCs w:val="32"/>
        </w:rPr>
        <w:t>年11月30日，户籍总户数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145741</w:t>
      </w:r>
      <w:r>
        <w:rPr>
          <w:rFonts w:eastAsia="方正仿宋简体"/>
          <w:color w:val="000000"/>
          <w:sz w:val="32"/>
          <w:szCs w:val="32"/>
        </w:rPr>
        <w:t>户，总人口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524234</w:t>
      </w:r>
      <w:r>
        <w:rPr>
          <w:rFonts w:eastAsia="方正仿宋简体"/>
          <w:color w:val="000000"/>
          <w:sz w:val="32"/>
          <w:szCs w:val="32"/>
        </w:rPr>
        <w:t>人，其中乡村人口32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45</w:t>
      </w:r>
      <w:r>
        <w:rPr>
          <w:rFonts w:eastAsia="方正仿宋简体"/>
          <w:color w:val="000000"/>
          <w:sz w:val="32"/>
          <w:szCs w:val="32"/>
        </w:rPr>
        <w:t>人。</w:t>
      </w:r>
      <w:r>
        <w:rPr>
          <w:rFonts w:hint="eastAsia" w:eastAsia="方正仿宋简体"/>
          <w:color w:val="000000"/>
          <w:sz w:val="32"/>
          <w:szCs w:val="32"/>
        </w:rPr>
        <w:t>截至2023年12月底止</w:t>
      </w:r>
      <w:r>
        <w:rPr>
          <w:rFonts w:hint="eastAsia" w:eastAsia="方正仿宋简体"/>
          <w:color w:val="000000"/>
          <w:sz w:val="32"/>
          <w:szCs w:val="32"/>
          <w:lang w:eastAsia="zh-CN"/>
        </w:rPr>
        <w:t>，</w:t>
      </w:r>
      <w:r>
        <w:rPr>
          <w:rFonts w:hint="eastAsia" w:eastAsia="方正仿宋简体"/>
          <w:color w:val="000000"/>
          <w:sz w:val="32"/>
          <w:szCs w:val="32"/>
        </w:rPr>
        <w:t>户籍人口出生率8.45‰</w:t>
      </w:r>
      <w:r>
        <w:rPr>
          <w:rFonts w:hint="eastAsia" w:eastAsia="方正仿宋简体"/>
          <w:color w:val="000000"/>
          <w:sz w:val="32"/>
          <w:szCs w:val="32"/>
          <w:lang w:eastAsia="zh-CN"/>
        </w:rPr>
        <w:t>，</w:t>
      </w:r>
      <w:r>
        <w:rPr>
          <w:rFonts w:hint="eastAsia" w:eastAsia="方正仿宋简体"/>
          <w:color w:val="000000"/>
          <w:sz w:val="32"/>
          <w:szCs w:val="32"/>
        </w:rPr>
        <w:t>政策生育率全区为98.96%，死亡率为5.15‰，自然增长率为3.30‰。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rPr>
          <w:rFonts w:hint="eastAsia" w:eastAsia="方正仿宋简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方正仿宋简体"/>
          <w:color w:val="000000"/>
          <w:sz w:val="32"/>
          <w:szCs w:val="32"/>
          <w:highlight w:val="none"/>
        </w:rPr>
        <w:t>2023年，龙湖区全体居民人均可支配收入48751元，增长3.2%，其中，城镇居民人均可支配收入48751元，增长3.2%</w:t>
      </w:r>
      <w:r>
        <w:rPr>
          <w:rFonts w:hint="eastAsia" w:eastAsia="方正仿宋简体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rPr>
          <w:rFonts w:hint="eastAsia" w:eastAsia="方正仿宋简体"/>
          <w:sz w:val="32"/>
          <w:szCs w:val="32"/>
          <w:lang w:val="zh-CN"/>
        </w:rPr>
      </w:pPr>
      <w:r>
        <w:rPr>
          <w:rFonts w:hint="eastAsia" w:eastAsia="方正仿宋简体"/>
          <w:sz w:val="32"/>
          <w:szCs w:val="32"/>
          <w:lang w:val="zh-CN"/>
        </w:rPr>
        <w:t>我区2023年实现城镇新增就业7696人，城镇失业人员再就业3018人，就业困难人员实现就业280人，扶持创业1134人。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rPr>
          <w:rFonts w:hint="eastAsia" w:eastAsia="方正仿宋简体"/>
          <w:sz w:val="32"/>
          <w:szCs w:val="32"/>
          <w:lang w:val="zh-CN"/>
        </w:rPr>
      </w:pPr>
      <w:r>
        <w:rPr>
          <w:rFonts w:hint="eastAsia" w:eastAsia="方正仿宋简体"/>
          <w:sz w:val="32"/>
          <w:szCs w:val="32"/>
          <w:lang w:val="zh-CN"/>
        </w:rPr>
        <w:t>2023年全年发生生产安全事故48起，均为交通运输业事故，上升200%；死亡11人，上升57.14%，未发生较大以上生产安全事故。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截至2023年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月底</w:t>
      </w:r>
      <w:r>
        <w:rPr>
          <w:rFonts w:hint="eastAsia" w:eastAsia="方正仿宋简体" w:cs="Times New Roman"/>
          <w:sz w:val="32"/>
          <w:szCs w:val="32"/>
          <w:lang w:val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龙湖区各险种参保人数分别为企业职工养老保险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121855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人</w:t>
      </w:r>
      <w:r>
        <w:rPr>
          <w:rFonts w:hint="eastAsia" w:eastAsia="方正仿宋简体" w:cs="Times New Roman"/>
          <w:sz w:val="32"/>
          <w:szCs w:val="32"/>
          <w:lang w:val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机关事业单位养老保险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8280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人</w:t>
      </w:r>
      <w:r>
        <w:rPr>
          <w:rFonts w:hint="eastAsia" w:eastAsia="方正仿宋简体" w:cs="Times New Roman"/>
          <w:sz w:val="32"/>
          <w:szCs w:val="32"/>
          <w:lang w:val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职业年金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8280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人</w:t>
      </w:r>
      <w:r>
        <w:rPr>
          <w:rFonts w:hint="eastAsia" w:eastAsia="方正仿宋简体" w:cs="Times New Roman"/>
          <w:sz w:val="32"/>
          <w:szCs w:val="32"/>
          <w:lang w:val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城乡居民养老保险146165人</w:t>
      </w:r>
      <w:r>
        <w:rPr>
          <w:rFonts w:hint="eastAsia" w:eastAsia="方正仿宋简体" w:cs="Times New Roman"/>
          <w:sz w:val="32"/>
          <w:szCs w:val="32"/>
          <w:lang w:val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失业保险103688人</w:t>
      </w:r>
      <w:r>
        <w:rPr>
          <w:rFonts w:hint="eastAsia" w:eastAsia="方正仿宋简体" w:cs="Times New Roman"/>
          <w:sz w:val="32"/>
          <w:szCs w:val="32"/>
          <w:lang w:val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工伤保险182266人。职工医疗保险总人数160035人，其中灵活就业人数18991人，生育保险人数141044人。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eastAsia" w:ascii="宋体" w:hAnsi="宋体" w:eastAsia="方正仿宋简体" w:cs="宋体"/>
          <w:b/>
          <w:bCs/>
          <w:kern w:val="44"/>
          <w:sz w:val="32"/>
          <w:szCs w:val="32"/>
          <w:lang w:val="en-US" w:eastAsia="zh-CN" w:bidi="ar"/>
        </w:rPr>
        <w:t>社会救助工作方面。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城镇最低生活保障标准提高到867元/人月，农村最低生活保障标准提高到812元/人月，城镇特困人员基本生活供养标准提高到1388元/人月，农村特困人员基本生活供养标准提高到1300元/人月。龙湖区现有低保户1518户3097人，低保边缘家庭41户107人，特困人员44人，支出型困难家庭4户22人。2023年累计发放低保金2505.06万元，发放特困人员供养金74.5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万元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重度残疾人护理补贴提高到261元/月，困难残疾人生活补贴提高到195元/月。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简体"/>
          <w:sz w:val="32"/>
          <w:szCs w:val="32"/>
        </w:rPr>
        <w:t>婚姻登记服务方面。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2023年共办理结婚登记3176对，其中异地结婚登记689对；办理离婚登记789对，其中异地离婚登记187对。</w:t>
      </w:r>
      <w:r>
        <w:rPr>
          <w:rFonts w:hint="eastAsia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2023年共为112对当事人提供婚姻家庭辅导服务，成功劝回离婚当事人43对。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方正仿宋简体" w:cs="Times New Roman"/>
          <w:strike/>
          <w:dstrike w:val="0"/>
          <w:sz w:val="32"/>
          <w:szCs w:val="32"/>
          <w:highlight w:val="red"/>
          <w:lang w:val="en-US" w:eastAsia="zh-CN"/>
        </w:rPr>
      </w:pPr>
      <w:r>
        <w:rPr>
          <w:rFonts w:hint="eastAsia" w:ascii="宋体" w:hAnsi="宋体" w:eastAsia="方正仿宋简体" w:cs="宋体"/>
          <w:b/>
          <w:bCs/>
          <w:kern w:val="44"/>
          <w:sz w:val="32"/>
          <w:szCs w:val="32"/>
          <w:lang w:val="en-US" w:eastAsia="zh-CN" w:bidi="ar"/>
        </w:rPr>
        <w:t>养老服务方面。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>提升长者呼援服务至4.0版本，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将我区60周岁以上的计划生育家庭特别扶助对象纳入服务范围，将低保、特困老年人服务对象范围降至60周岁以上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Style w:val="26"/>
          <w:rFonts w:hint="default" w:ascii="Times New Roman" w:hAnsi="Times New Roman" w:eastAsia="方正仿宋简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目前在线服务老年人14000</w:t>
      </w:r>
      <w:r>
        <w:rPr>
          <w:rStyle w:val="26"/>
          <w:rFonts w:hint="eastAsia" w:ascii="Times New Roman" w:hAnsi="Times New Roman" w:eastAsia="方正仿宋简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多</w:t>
      </w:r>
      <w:r>
        <w:rPr>
          <w:rStyle w:val="26"/>
          <w:rFonts w:hint="default" w:ascii="Times New Roman" w:hAnsi="Times New Roman" w:eastAsia="方正仿宋简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人，惠及全区一万个家庭以上。</w:t>
      </w:r>
      <w:r>
        <w:rPr>
          <w:rFonts w:hint="eastAsia" w:ascii="Times New Roman" w:hAnsi="Times New Roman" w:eastAsia="方正仿宋简体" w:cs="方正仿宋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2023年新开放新津、龙华、龙腾街道共3个街道综合养老服务中心，综合养老服务中心覆盖率100%。</w:t>
      </w:r>
      <w:r>
        <w:rPr>
          <w:rStyle w:val="26"/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目前我区已建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长者饭堂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32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家，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全年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</w:rPr>
        <w:t>服务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长者7万多人次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。2023年共为10065人次高龄老人发放高龄津贴396.6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万元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累计发放居家养老服务费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11.35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万元，累计发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放百岁老人长寿保健金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116人次，共4.64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highlight w:val="none"/>
        </w:rPr>
      </w:pPr>
      <w:r>
        <w:rPr>
          <w:rFonts w:hint="eastAsia" w:ascii="宋体" w:hAnsi="宋体" w:eastAsia="方正仿宋简体" w:cs="宋体"/>
          <w:b/>
          <w:bCs/>
          <w:kern w:val="44"/>
          <w:sz w:val="32"/>
          <w:szCs w:val="32"/>
          <w:lang w:val="en-US" w:eastAsia="zh-CN" w:bidi="ar"/>
        </w:rPr>
        <w:t>儿童福利和未成年人关爱保护工作方面。</w:t>
      </w:r>
      <w:r>
        <w:rPr>
          <w:rFonts w:hint="eastAsia" w:ascii="Times New Roman" w:hAnsi="Times New Roman" w:eastAsia="方正仿宋简体" w:cs="仿宋_GB2312"/>
          <w:color w:val="000000"/>
          <w:kern w:val="0"/>
          <w:sz w:val="32"/>
          <w:szCs w:val="32"/>
          <w:highlight w:val="none"/>
          <w:lang w:val="en-US" w:eastAsia="zh-CN"/>
        </w:rPr>
        <w:t>集中供养孤儿基本生活费提标至2017元/月·人；散居孤儿基本生活费提标至1359元/月·人。</w:t>
      </w:r>
      <w:r>
        <w:rPr>
          <w:rFonts w:hint="eastAsia" w:ascii="Times New Roman" w:hAnsi="Times New Roman" w:eastAsia="方正仿宋简体" w:cs="仿宋_GB2312"/>
          <w:color w:val="auto"/>
          <w:kern w:val="0"/>
          <w:sz w:val="32"/>
          <w:szCs w:val="32"/>
          <w:highlight w:val="none"/>
          <w:lang w:val="en-US" w:eastAsia="zh-CN"/>
        </w:rPr>
        <w:t>2023年累计发放孤儿基本生活保障金140人次19.43万元，事</w:t>
      </w:r>
      <w:r>
        <w:rPr>
          <w:rFonts w:hint="eastAsia" w:ascii="Times New Roman" w:hAnsi="Times New Roman" w:eastAsia="方正仿宋简体" w:cs="仿宋_GB2312"/>
          <w:color w:val="000000"/>
          <w:kern w:val="0"/>
          <w:sz w:val="32"/>
          <w:szCs w:val="32"/>
          <w:highlight w:val="none"/>
          <w:lang w:val="en-US" w:eastAsia="zh-CN"/>
        </w:rPr>
        <w:t>实无人抚养儿童基本生活补贴金296人次25.80万元，困境儿童基本生活补助金976人次111.96万元。</w:t>
      </w:r>
      <w:r>
        <w:rPr>
          <w:rFonts w:hint="default" w:ascii="Times New Roman" w:hAnsi="Times New Roman" w:eastAsia="方正仿宋简体" w:cs="仿宋_GB2312"/>
          <w:color w:val="000000"/>
          <w:kern w:val="0"/>
          <w:sz w:val="32"/>
          <w:szCs w:val="32"/>
          <w:highlight w:val="none"/>
          <w:lang w:val="en-US" w:eastAsia="zh-CN"/>
        </w:rPr>
        <w:t>龙湖区关爱未成年人红色经典电影展播活动</w:t>
      </w:r>
      <w:r>
        <w:rPr>
          <w:rFonts w:hint="eastAsia" w:ascii="Times New Roman" w:hAnsi="Times New Roman" w:eastAsia="方正仿宋简体" w:cs="仿宋_GB2312"/>
          <w:color w:val="000000"/>
          <w:kern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简体" w:cs="仿宋_GB2312"/>
          <w:color w:val="000000"/>
          <w:kern w:val="0"/>
          <w:sz w:val="32"/>
          <w:szCs w:val="32"/>
          <w:highlight w:val="none"/>
          <w:lang w:val="en-US" w:eastAsia="zh-CN"/>
        </w:rPr>
        <w:t>中国共产党人精神谱系播种计划</w:t>
      </w:r>
      <w:r>
        <w:rPr>
          <w:rFonts w:hint="eastAsia" w:ascii="Times New Roman" w:hAnsi="Times New Roman" w:eastAsia="方正仿宋简体" w:cs="仿宋_GB2312"/>
          <w:color w:val="000000"/>
          <w:kern w:val="0"/>
          <w:sz w:val="32"/>
          <w:szCs w:val="32"/>
          <w:highlight w:val="none"/>
          <w:lang w:val="en-US" w:eastAsia="zh-CN"/>
        </w:rPr>
        <w:t>”目前已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免费组织5000多人次观看</w:t>
      </w:r>
      <w:r>
        <w:rPr>
          <w:rFonts w:hint="eastAsia" w:ascii="Times New Roman" w:hAnsi="Times New Roman" w:eastAsia="方正仿宋简体" w:cs="仿宋_GB2312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rPr>
          <w:rFonts w:hint="eastAsia" w:eastAsia="方正仿宋简体"/>
          <w:sz w:val="32"/>
          <w:szCs w:val="32"/>
        </w:rPr>
      </w:pPr>
      <w:r>
        <w:rPr>
          <w:rFonts w:hint="eastAsia" w:ascii="宋体" w:hAnsi="宋体" w:eastAsia="方正仿宋简体" w:cs="宋体"/>
          <w:b/>
          <w:bCs/>
          <w:kern w:val="44"/>
          <w:sz w:val="32"/>
          <w:szCs w:val="32"/>
          <w:lang w:val="en-US" w:eastAsia="zh-CN" w:bidi="ar"/>
        </w:rPr>
        <w:t>殡葬改革工作方面。</w:t>
      </w:r>
      <w:r>
        <w:rPr>
          <w:rFonts w:hint="eastAsia" w:ascii="Times New Roman" w:hAnsi="Times New Roman" w:eastAsia="方正仿宋简体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2023年度全区火化核实总数2994具，按综合火化率的统计方式，火化数与推算死亡数、死亡数、户口注销数的比率均达到100%。及时落实免除基本服务费，全年累计免除2965名城乡居民殡葬基本服务费用310.88万元。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保持火化率100%，我区保持连续26年获评全市殡葬管理先进单位。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5"/>
        <w:textAlignment w:val="auto"/>
        <w:rPr>
          <w:rFonts w:eastAsia="方正仿宋简体"/>
          <w:sz w:val="32"/>
          <w:szCs w:val="32"/>
        </w:rPr>
      </w:pPr>
      <w:r>
        <w:rPr>
          <w:rFonts w:hint="eastAsia" w:ascii="宋体" w:hAnsi="宋体" w:eastAsia="方正仿宋简体" w:cs="宋体"/>
          <w:b/>
          <w:bCs/>
          <w:kern w:val="44"/>
          <w:sz w:val="32"/>
          <w:szCs w:val="32"/>
          <w:lang w:val="en-US" w:eastAsia="zh-CN" w:bidi="ar"/>
        </w:rPr>
        <w:t>推进双拥工作方面。</w:t>
      </w:r>
      <w:r>
        <w:rPr>
          <w:rFonts w:hint="eastAsia" w:eastAsia="方正仿宋简体"/>
          <w:sz w:val="32"/>
          <w:szCs w:val="32"/>
        </w:rPr>
        <w:t>202</w:t>
      </w:r>
      <w:r>
        <w:rPr>
          <w:rFonts w:hint="eastAsia" w:eastAsia="方正仿宋简体"/>
          <w:sz w:val="32"/>
          <w:szCs w:val="32"/>
          <w:lang w:val="en-US" w:eastAsia="zh-CN"/>
        </w:rPr>
        <w:t>3</w:t>
      </w:r>
      <w:r>
        <w:rPr>
          <w:rFonts w:hint="eastAsia" w:eastAsia="方正仿宋简体"/>
          <w:sz w:val="32"/>
          <w:szCs w:val="32"/>
        </w:rPr>
        <w:t>年累计发放病故军人一次性抚恤金约</w:t>
      </w:r>
      <w:r>
        <w:rPr>
          <w:rFonts w:hint="eastAsia" w:eastAsia="方正仿宋简体"/>
          <w:sz w:val="32"/>
          <w:szCs w:val="32"/>
          <w:lang w:val="en-US" w:eastAsia="zh-CN"/>
        </w:rPr>
        <w:t>205.74</w:t>
      </w:r>
      <w:r>
        <w:rPr>
          <w:rFonts w:hint="eastAsia" w:eastAsia="方正仿宋简体"/>
          <w:sz w:val="32"/>
          <w:szCs w:val="32"/>
        </w:rPr>
        <w:t>万元、退伍军人</w:t>
      </w:r>
      <w:r>
        <w:rPr>
          <w:rFonts w:hint="eastAsia" w:eastAsia="方正仿宋简体"/>
          <w:sz w:val="32"/>
          <w:szCs w:val="32"/>
          <w:lang w:eastAsia="zh-CN"/>
        </w:rPr>
        <w:t>优抚抚恤补助金</w:t>
      </w:r>
      <w:r>
        <w:rPr>
          <w:rFonts w:hint="eastAsia" w:eastAsia="方正仿宋简体"/>
          <w:sz w:val="32"/>
          <w:szCs w:val="32"/>
        </w:rPr>
        <w:t>约</w:t>
      </w:r>
      <w:r>
        <w:rPr>
          <w:rFonts w:hint="eastAsia" w:eastAsia="方正仿宋简体"/>
          <w:sz w:val="32"/>
          <w:szCs w:val="32"/>
          <w:lang w:val="en-US" w:eastAsia="zh-CN"/>
        </w:rPr>
        <w:t>2359.52</w:t>
      </w:r>
      <w:r>
        <w:rPr>
          <w:rFonts w:hint="eastAsia" w:eastAsia="方正仿宋简体"/>
          <w:sz w:val="32"/>
          <w:szCs w:val="32"/>
        </w:rPr>
        <w:t>万元、驻区部队随军未就业家属生活补助约</w:t>
      </w:r>
      <w:r>
        <w:rPr>
          <w:rFonts w:hint="eastAsia" w:eastAsia="方正仿宋简体"/>
          <w:sz w:val="32"/>
          <w:szCs w:val="32"/>
          <w:lang w:val="en-US" w:eastAsia="zh-CN"/>
        </w:rPr>
        <w:t>400余</w:t>
      </w:r>
      <w:r>
        <w:rPr>
          <w:rFonts w:hint="eastAsia" w:eastAsia="方正仿宋简体"/>
          <w:sz w:val="32"/>
          <w:szCs w:val="32"/>
        </w:rPr>
        <w:t>万元、义务兵家庭和部分重点优抚对象优待金约</w:t>
      </w:r>
      <w:r>
        <w:rPr>
          <w:rFonts w:hint="eastAsia" w:eastAsia="方正仿宋简体"/>
          <w:sz w:val="32"/>
          <w:szCs w:val="32"/>
          <w:lang w:val="en-US" w:eastAsia="zh-CN"/>
        </w:rPr>
        <w:t>705.22</w:t>
      </w:r>
      <w:r>
        <w:rPr>
          <w:rFonts w:hint="eastAsia" w:eastAsia="方正仿宋简体"/>
          <w:sz w:val="32"/>
          <w:szCs w:val="32"/>
        </w:rPr>
        <w:t>万元；接收安置符合政府安排工作退役士兵</w:t>
      </w:r>
      <w:r>
        <w:rPr>
          <w:rFonts w:hint="eastAsia" w:eastAsia="方正仿宋简体"/>
          <w:sz w:val="32"/>
          <w:szCs w:val="32"/>
          <w:lang w:val="en-US" w:eastAsia="zh-CN"/>
        </w:rPr>
        <w:t>28</w:t>
      </w:r>
      <w:r>
        <w:rPr>
          <w:rFonts w:hint="eastAsia" w:eastAsia="方正仿宋简体"/>
          <w:sz w:val="32"/>
          <w:szCs w:val="32"/>
        </w:rPr>
        <w:t>人，发放困难企业军转干部生活补助金约</w:t>
      </w:r>
      <w:r>
        <w:rPr>
          <w:rFonts w:hint="eastAsia" w:eastAsia="方正仿宋简体"/>
          <w:sz w:val="32"/>
          <w:szCs w:val="32"/>
          <w:lang w:val="en-US" w:eastAsia="zh-CN"/>
        </w:rPr>
        <w:t>632</w:t>
      </w:r>
      <w:r>
        <w:rPr>
          <w:rFonts w:hint="eastAsia" w:eastAsia="方正仿宋简体"/>
          <w:sz w:val="32"/>
          <w:szCs w:val="32"/>
        </w:rPr>
        <w:t>万元、自主就业退役士兵一次性补助金约</w:t>
      </w:r>
      <w:r>
        <w:rPr>
          <w:rFonts w:hint="eastAsia" w:eastAsia="方正仿宋简体"/>
          <w:sz w:val="32"/>
          <w:szCs w:val="32"/>
          <w:lang w:val="en-US" w:eastAsia="zh-CN"/>
        </w:rPr>
        <w:t>428</w:t>
      </w:r>
      <w:r>
        <w:rPr>
          <w:rFonts w:hint="eastAsia" w:eastAsia="方正仿宋简体"/>
          <w:sz w:val="32"/>
          <w:szCs w:val="32"/>
        </w:rPr>
        <w:t>万元。开展立功受奖送喜报活动，为</w:t>
      </w:r>
      <w:r>
        <w:rPr>
          <w:rFonts w:hint="eastAsia" w:eastAsia="方正仿宋简体"/>
          <w:sz w:val="32"/>
          <w:szCs w:val="32"/>
          <w:lang w:val="en-US" w:eastAsia="zh-CN"/>
        </w:rPr>
        <w:t>14</w:t>
      </w:r>
      <w:r>
        <w:rPr>
          <w:rFonts w:hint="eastAsia" w:eastAsia="方正仿宋简体"/>
          <w:sz w:val="32"/>
          <w:szCs w:val="32"/>
        </w:rPr>
        <w:t>名立</w:t>
      </w:r>
      <w:r>
        <w:rPr>
          <w:rFonts w:hint="eastAsia" w:eastAsia="方正仿宋简体"/>
          <w:sz w:val="32"/>
          <w:szCs w:val="32"/>
          <w:lang w:val="en-US" w:eastAsia="zh-CN"/>
        </w:rPr>
        <w:t>三</w:t>
      </w:r>
      <w:r>
        <w:rPr>
          <w:rFonts w:hint="eastAsia" w:eastAsia="方正仿宋简体"/>
          <w:sz w:val="32"/>
          <w:szCs w:val="32"/>
        </w:rPr>
        <w:t>等功现役军人家庭送喜报，并赠送慰问金共</w:t>
      </w:r>
      <w:r>
        <w:rPr>
          <w:rFonts w:hint="eastAsia" w:eastAsia="方正仿宋简体"/>
          <w:sz w:val="32"/>
          <w:szCs w:val="32"/>
          <w:lang w:val="en-US" w:eastAsia="zh-CN"/>
        </w:rPr>
        <w:t>1.12</w:t>
      </w:r>
      <w:r>
        <w:rPr>
          <w:rFonts w:hint="eastAsia" w:eastAsia="方正仿宋简体"/>
          <w:sz w:val="32"/>
          <w:szCs w:val="32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社会组织工作方面。2023年我区社会组织总量341个，其中：社会团体85个、民办非企业单位256个。全区依法认定的慈善组织3家，具有公开募捐资格2家，街道备案登记社区社会组织47家。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已成立党组织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的社会组织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56家，党员358人；其中归属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社会组织党委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直接管理党组织10个，党员56人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19"/>
        <w:ind w:firstLine="640"/>
        <w:jc w:val="left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Times New Roman" w:hAnsi="Times New Roman" w:eastAsia="方正仿宋简体" w:cs="Times New Roman"/>
          <w:color w:val="000000"/>
          <w:sz w:val="24"/>
        </w:rPr>
      </w:pPr>
      <w:r>
        <w:rPr>
          <w:rFonts w:ascii="Times New Roman" w:hAnsi="Times New Roman" w:eastAsia="方正仿宋简体" w:cs="Times New Roman"/>
          <w:color w:val="000000"/>
          <w:sz w:val="24"/>
        </w:rPr>
        <w:t>注：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Times New Roman" w:hAnsi="Times New Roman" w:eastAsia="方正仿宋简体" w:cs="Times New Roman"/>
          <w:color w:val="000000"/>
          <w:sz w:val="24"/>
        </w:rPr>
      </w:pPr>
      <w:r>
        <w:rPr>
          <w:rFonts w:ascii="Times New Roman" w:hAnsi="Times New Roman" w:eastAsia="方正仿宋简体" w:cs="Times New Roman"/>
          <w:color w:val="000000"/>
          <w:sz w:val="24"/>
        </w:rPr>
        <w:t>1.公报中202</w:t>
      </w:r>
      <w:r>
        <w:rPr>
          <w:rFonts w:hint="eastAsia" w:ascii="Times New Roman" w:hAnsi="Times New Roman" w:eastAsia="方正仿宋简体" w:cs="Times New Roman"/>
          <w:color w:val="000000"/>
          <w:sz w:val="24"/>
          <w:lang w:val="en-US" w:eastAsia="zh-CN"/>
        </w:rPr>
        <w:t>3</w:t>
      </w:r>
      <w:r>
        <w:rPr>
          <w:rFonts w:ascii="Times New Roman" w:hAnsi="Times New Roman" w:eastAsia="方正仿宋简体" w:cs="Times New Roman"/>
          <w:color w:val="000000"/>
          <w:sz w:val="24"/>
        </w:rPr>
        <w:t>年各项数据均为初步统计数，往年数据为年报数。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Times New Roman" w:hAnsi="Times New Roman" w:eastAsia="方正仿宋简体" w:cs="Times New Roman"/>
          <w:color w:val="000000"/>
          <w:sz w:val="24"/>
        </w:rPr>
      </w:pPr>
      <w:r>
        <w:rPr>
          <w:rFonts w:ascii="Times New Roman" w:hAnsi="Times New Roman" w:eastAsia="方正仿宋简体" w:cs="Times New Roman"/>
          <w:color w:val="000000"/>
          <w:sz w:val="24"/>
        </w:rPr>
        <w:t>2.公报中地区生产总值及各产业增加值、总产值均按现行价计算，增长速度按可比价格计算。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Times New Roman" w:hAnsi="Times New Roman" w:eastAsia="方正仿宋简体" w:cs="Times New Roman"/>
          <w:color w:val="000000"/>
          <w:sz w:val="24"/>
        </w:rPr>
      </w:pPr>
      <w:r>
        <w:rPr>
          <w:rFonts w:ascii="Times New Roman" w:hAnsi="Times New Roman" w:eastAsia="方正仿宋简体" w:cs="Times New Roman"/>
          <w:color w:val="000000"/>
          <w:sz w:val="24"/>
        </w:rPr>
        <w:t>3.从2020年起，全区经济指标数据（除财政外）包含高新区东片区。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000000"/>
          <w:sz w:val="24"/>
        </w:rPr>
      </w:pPr>
      <w:r>
        <w:rPr>
          <w:rFonts w:ascii="Times New Roman" w:hAnsi="Times New Roman" w:eastAsia="方正仿宋简体" w:cs="Times New Roman"/>
          <w:color w:val="000000"/>
          <w:sz w:val="24"/>
        </w:rPr>
        <w:t>4.</w:t>
      </w:r>
      <w:r>
        <w:rPr>
          <w:rFonts w:hint="eastAsia" w:ascii="Times New Roman" w:hAnsi="Times New Roman" w:eastAsia="方正仿宋简体" w:cs="Times New Roman"/>
          <w:color w:val="000000"/>
          <w:sz w:val="24"/>
        </w:rPr>
        <w:t>规模以上工业统计口径为年主营业务收入2000万元及以上的工业单位。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000000"/>
          <w:sz w:val="24"/>
        </w:rPr>
      </w:pPr>
      <w:r>
        <w:rPr>
          <w:rFonts w:hint="eastAsia" w:ascii="Times New Roman" w:hAnsi="Times New Roman" w:eastAsia="方正仿宋简体" w:cs="Times New Roman"/>
          <w:color w:val="000000"/>
          <w:sz w:val="24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color w:val="000000"/>
          <w:sz w:val="24"/>
        </w:rPr>
        <w:t>.固定资产投资项目统计口径为各种登记注册类型的法人单位、个体经营户、其他单位进行的计划总投资500万元及以上项目，不包括农户投资。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000000"/>
          <w:sz w:val="24"/>
        </w:rPr>
      </w:pPr>
      <w:r>
        <w:rPr>
          <w:rFonts w:hint="eastAsia" w:ascii="Times New Roman" w:hAnsi="Times New Roman" w:eastAsia="方正仿宋简体" w:cs="Times New Roman"/>
          <w:color w:val="000000"/>
          <w:sz w:val="24"/>
          <w:lang w:val="en-US" w:eastAsia="zh-CN"/>
        </w:rPr>
        <w:t>6</w:t>
      </w:r>
      <w:r>
        <w:rPr>
          <w:rFonts w:hint="eastAsia" w:ascii="Times New Roman" w:hAnsi="Times New Roman" w:eastAsia="方正仿宋简体" w:cs="Times New Roman"/>
          <w:color w:val="000000"/>
          <w:sz w:val="24"/>
        </w:rPr>
        <w:t>.限额以上批发和零售业统计口径为：批发业企业年主营业务收入2000万元及以上；零售业企业年主营业务收入500万元及以上。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000000"/>
          <w:sz w:val="24"/>
        </w:rPr>
      </w:pPr>
      <w:r>
        <w:rPr>
          <w:rFonts w:hint="eastAsia" w:ascii="Times New Roman" w:hAnsi="Times New Roman" w:eastAsia="方正仿宋简体" w:cs="Times New Roman"/>
          <w:color w:val="000000"/>
          <w:sz w:val="24"/>
          <w:lang w:val="en-US" w:eastAsia="zh-CN"/>
        </w:rPr>
        <w:t>7</w:t>
      </w:r>
      <w:r>
        <w:rPr>
          <w:rFonts w:hint="eastAsia" w:ascii="Times New Roman" w:hAnsi="Times New Roman" w:eastAsia="方正仿宋简体" w:cs="Times New Roman"/>
          <w:color w:val="000000"/>
          <w:sz w:val="24"/>
        </w:rPr>
        <w:t>.规模以上服务业范围包括：年营业收入2000万元及以上的交通运输、仓储和邮政业，信息传输、软件和信息技术服务业，水利、环境和公共设施管理业，卫生行业法人单位；年营业收入1000万元及以上的房地产业（不含房地产开发经营），租赁和商务服务业，科学研究和技术服务业，教育行业法人单位；以及年营业收入500万元及以上的居民服务、修理和其他服务业，文化、体育和娱乐业，社会工作行业法人单位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Times New Roman" w:hAnsi="Times New Roman" w:eastAsia="方正仿宋简体" w:cs="Times New Roman"/>
          <w:color w:val="000000"/>
          <w:sz w:val="24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Times New Roman" w:hAnsi="Times New Roman" w:eastAsia="方正仿宋简体" w:cs="Times New Roman"/>
          <w:color w:val="000000"/>
          <w:sz w:val="24"/>
        </w:rPr>
      </w:pPr>
      <w:r>
        <w:rPr>
          <w:rFonts w:ascii="Times New Roman" w:hAnsi="Times New Roman" w:eastAsia="方正仿宋简体" w:cs="Times New Roman"/>
          <w:color w:val="000000"/>
          <w:sz w:val="24"/>
        </w:rPr>
        <w:t>资料来源：</w:t>
      </w:r>
      <w:r>
        <w:rPr>
          <w:rFonts w:hint="eastAsia" w:ascii="Times New Roman" w:hAnsi="Times New Roman" w:eastAsia="方正仿宋简体" w:cs="Times New Roman"/>
          <w:color w:val="000000"/>
          <w:sz w:val="24"/>
        </w:rPr>
        <w:t>公报中城镇新增就业、登记失业率、社会保障等数据来自区人力资源和社会保障局；财政数据来自区财政局；水产品产量数据来自区农业农村局；对外经济贸易数据来自区商务局；社会保险基金收入和养老、工伤和失业参保人数由汕头市社会保险基金管理局龙湖分局提供；医疗保险及生育参保人数由汕头市医疗保障局龙湖分局提供；文化、体育、旅游数据来自区文化广电旅游体育局；户籍数据来自汕头市公安局龙湖分局；医疗卫生、出生人口、出生率及自然增长率数据来自区卫生健康局；基本民生保障情况来自区民政局；教育数据来自区教育局；科技数据来自区工信局；专利数据来自区市场监管局；优抚安置和双拥数据来自区退役军人事务局；其他数据来自区统计局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Times New Roman" w:hAnsi="Times New Roman" w:eastAsia="方正仿宋简体" w:cs="Times New Roman"/>
          <w:color w:val="000000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440" w:left="1588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仿宋">
    <w:altName w:val="方正兰亭超细黑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210" w:rightChars="100"/>
      <w:jc w:val="right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ZGQ4NDM4Mjk3MjZiZTk0ODg5MGEzMWVlOGQxYjgifQ=="/>
    <w:docVar w:name="KSO_WPS_MARK_KEY" w:val="3c3de82b-ed8a-4ff4-85e0-6b2c69b422a9"/>
  </w:docVars>
  <w:rsids>
    <w:rsidRoot w:val="00172A27"/>
    <w:rsid w:val="000434E2"/>
    <w:rsid w:val="000A6DE3"/>
    <w:rsid w:val="000D5B09"/>
    <w:rsid w:val="001046A4"/>
    <w:rsid w:val="00172A27"/>
    <w:rsid w:val="001C7951"/>
    <w:rsid w:val="00277907"/>
    <w:rsid w:val="003E3571"/>
    <w:rsid w:val="00537EC9"/>
    <w:rsid w:val="0062149E"/>
    <w:rsid w:val="00652BA5"/>
    <w:rsid w:val="007B715F"/>
    <w:rsid w:val="00841570"/>
    <w:rsid w:val="008C507A"/>
    <w:rsid w:val="008D5449"/>
    <w:rsid w:val="008D6FD3"/>
    <w:rsid w:val="00931E2D"/>
    <w:rsid w:val="00994D47"/>
    <w:rsid w:val="00AF20A2"/>
    <w:rsid w:val="00B3223C"/>
    <w:rsid w:val="00B675C9"/>
    <w:rsid w:val="00BD49D4"/>
    <w:rsid w:val="00C204E7"/>
    <w:rsid w:val="00D521A6"/>
    <w:rsid w:val="00D944C7"/>
    <w:rsid w:val="00DA36C7"/>
    <w:rsid w:val="00F47597"/>
    <w:rsid w:val="01774331"/>
    <w:rsid w:val="02635FD6"/>
    <w:rsid w:val="06172009"/>
    <w:rsid w:val="07D05741"/>
    <w:rsid w:val="08E2116B"/>
    <w:rsid w:val="0A1D15D8"/>
    <w:rsid w:val="0A9A5D0D"/>
    <w:rsid w:val="0ADE6C7B"/>
    <w:rsid w:val="0AE234BF"/>
    <w:rsid w:val="0B665EB8"/>
    <w:rsid w:val="0BAE0D4C"/>
    <w:rsid w:val="0C016A05"/>
    <w:rsid w:val="0C19531E"/>
    <w:rsid w:val="0C1D5BE4"/>
    <w:rsid w:val="112E774A"/>
    <w:rsid w:val="14B7274B"/>
    <w:rsid w:val="16524D10"/>
    <w:rsid w:val="1C5728CD"/>
    <w:rsid w:val="1CDE6641"/>
    <w:rsid w:val="1DA8492F"/>
    <w:rsid w:val="1DB218DC"/>
    <w:rsid w:val="23BF50B1"/>
    <w:rsid w:val="2622231D"/>
    <w:rsid w:val="26C66366"/>
    <w:rsid w:val="27DF06C0"/>
    <w:rsid w:val="2BF02509"/>
    <w:rsid w:val="2D8F2A70"/>
    <w:rsid w:val="31432B68"/>
    <w:rsid w:val="3717241C"/>
    <w:rsid w:val="390D7261"/>
    <w:rsid w:val="39A110A3"/>
    <w:rsid w:val="3B5A439C"/>
    <w:rsid w:val="40722CC7"/>
    <w:rsid w:val="40C369F2"/>
    <w:rsid w:val="411A75A9"/>
    <w:rsid w:val="44E0231D"/>
    <w:rsid w:val="472F42DE"/>
    <w:rsid w:val="47380AD5"/>
    <w:rsid w:val="478D2B07"/>
    <w:rsid w:val="48741329"/>
    <w:rsid w:val="48E67278"/>
    <w:rsid w:val="497E3B44"/>
    <w:rsid w:val="4BDF1120"/>
    <w:rsid w:val="4E916CE0"/>
    <w:rsid w:val="4EBD5DEA"/>
    <w:rsid w:val="53A930A5"/>
    <w:rsid w:val="563F7B07"/>
    <w:rsid w:val="56F53B27"/>
    <w:rsid w:val="59784B0A"/>
    <w:rsid w:val="59FD53C2"/>
    <w:rsid w:val="5AE90737"/>
    <w:rsid w:val="5BB57237"/>
    <w:rsid w:val="5C921539"/>
    <w:rsid w:val="5DF837D5"/>
    <w:rsid w:val="6059772E"/>
    <w:rsid w:val="62412C56"/>
    <w:rsid w:val="645C5CF2"/>
    <w:rsid w:val="6554277E"/>
    <w:rsid w:val="65E741F0"/>
    <w:rsid w:val="67217E22"/>
    <w:rsid w:val="67DE40F4"/>
    <w:rsid w:val="6C1921B9"/>
    <w:rsid w:val="6CAD6B2F"/>
    <w:rsid w:val="6D262ED3"/>
    <w:rsid w:val="6D4326F8"/>
    <w:rsid w:val="6DC36314"/>
    <w:rsid w:val="6E117C70"/>
    <w:rsid w:val="6E2E109E"/>
    <w:rsid w:val="74332A4D"/>
    <w:rsid w:val="76686D97"/>
    <w:rsid w:val="7A0216FE"/>
    <w:rsid w:val="7B741C44"/>
    <w:rsid w:val="7C1B7990"/>
    <w:rsid w:val="7E3111DC"/>
    <w:rsid w:val="7FC4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88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widowControl w:val="0"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22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">
    <w:name w:val="大标题"/>
    <w:basedOn w:val="1"/>
    <w:qFormat/>
    <w:uiPriority w:val="0"/>
    <w:pPr>
      <w:tabs>
        <w:tab w:val="left" w:pos="9000"/>
      </w:tabs>
      <w:spacing w:line="700" w:lineRule="exact"/>
      <w:jc w:val="center"/>
      <w:outlineLvl w:val="0"/>
    </w:pPr>
    <w:rPr>
      <w:rFonts w:ascii="方正小标宋简体" w:hAnsi="华文中宋" w:eastAsia="方正小标宋简体"/>
      <w:sz w:val="44"/>
      <w:szCs w:val="44"/>
    </w:rPr>
  </w:style>
  <w:style w:type="paragraph" w:customStyle="1" w:styleId="17">
    <w:name w:val="Char"/>
    <w:basedOn w:val="1"/>
    <w:qFormat/>
    <w:uiPriority w:val="0"/>
    <w:pPr>
      <w:widowControl/>
      <w:spacing w:after="160" w:line="240" w:lineRule="exact"/>
      <w:jc w:val="left"/>
    </w:pPr>
    <w:rPr>
      <w:rFonts w:eastAsia="创艺简仿宋"/>
      <w:color w:val="000000"/>
      <w:sz w:val="28"/>
      <w:szCs w:val="20"/>
    </w:rPr>
  </w:style>
  <w:style w:type="paragraph" w:customStyle="1" w:styleId="18">
    <w:name w:val="纯文本1"/>
    <w:basedOn w:val="1"/>
    <w:link w:val="21"/>
    <w:qFormat/>
    <w:uiPriority w:val="0"/>
    <w:rPr>
      <w:rFonts w:ascii="宋体" w:hAnsi="Courier New" w:cs="Courier New"/>
      <w:szCs w:val="21"/>
    </w:rPr>
  </w:style>
  <w:style w:type="paragraph" w:customStyle="1" w:styleId="19">
    <w:name w:val="纯文本11"/>
    <w:basedOn w:val="1"/>
    <w:qFormat/>
    <w:uiPriority w:val="0"/>
    <w:rPr>
      <w:rFonts w:ascii="宋体" w:hAnsi="Courier New" w:cs="Courier New"/>
      <w:szCs w:val="21"/>
    </w:rPr>
  </w:style>
  <w:style w:type="paragraph" w:customStyle="1" w:styleId="20">
    <w:name w:val="正文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21">
    <w:name w:val="纯文本 Char"/>
    <w:link w:val="18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2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23">
    <w:name w:val="页码1"/>
    <w:basedOn w:val="10"/>
    <w:qFormat/>
    <w:uiPriority w:val="0"/>
  </w:style>
  <w:style w:type="paragraph" w:customStyle="1" w:styleId="24">
    <w:name w:val="纯文本2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customStyle="1" w:styleId="25">
    <w:name w:val="Plain Text"/>
    <w:basedOn w:val="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chart" Target="charts/chart3.xml"/><Relationship Id="rId11" Type="http://schemas.openxmlformats.org/officeDocument/2006/relationships/chart" Target="charts/chart2.xml"/><Relationship Id="rId10" Type="http://schemas.openxmlformats.org/officeDocument/2006/relationships/chart" Target="charts/chart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&#24037;&#19994;&#36164;&#26009;\&#20844;&#25253;\2023&#24180;&#20844;&#25253;\23&#24180;&#21407;&#22987;&#25968;&#25454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&#24037;&#20316;&#31807;1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E:\&#26472;&#20234;&#28800;\&#32463;&#27982;&#32929;\&#24180;&#37492;&#12289;&#20844;&#25253;\2023&#24180;&#20844;&#25253;-&#23450;&#25253;&#25968;&#25454;\2023&#24180;&#20844;&#25253;&#22270;&#2925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图 202</a:t>
            </a:r>
            <a:r>
              <a:rPr lang="en-US" altLang="zh-CN"/>
              <a:t>3</a:t>
            </a:r>
            <a:r>
              <a:t>年规模以上工业主要产业产值情况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[23年原始数据.xlsx]Sheet3!$B$1</c:f>
              <c:strCache>
                <c:ptCount val="1"/>
                <c:pt idx="0">
                  <c:v>累计产值（亿元）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[23年原始数据.xlsx]Sheet3!$A$2:$A$8</c:f>
              <c:strCache>
                <c:ptCount val="7"/>
                <c:pt idx="0">
                  <c:v>纺织服装</c:v>
                </c:pt>
                <c:pt idx="1">
                  <c:v>生物医药</c:v>
                </c:pt>
                <c:pt idx="2">
                  <c:v>化工塑料</c:v>
                </c:pt>
                <c:pt idx="3">
                  <c:v>输配电</c:v>
                </c:pt>
                <c:pt idx="4">
                  <c:v>设备制造</c:v>
                </c:pt>
                <c:pt idx="5">
                  <c:v>电子信息</c:v>
                </c:pt>
                <c:pt idx="6">
                  <c:v>食品饮料</c:v>
                </c:pt>
              </c:strCache>
            </c:strRef>
          </c:cat>
          <c:val>
            <c:numRef>
              <c:f>[23年原始数据.xlsx]Sheet3!$B$2:$B$8</c:f>
              <c:numCache>
                <c:formatCode>0.00_ </c:formatCode>
                <c:ptCount val="7"/>
                <c:pt idx="0">
                  <c:v>58.5139</c:v>
                </c:pt>
                <c:pt idx="1">
                  <c:v>37.7882</c:v>
                </c:pt>
                <c:pt idx="2">
                  <c:v>58.6092</c:v>
                </c:pt>
                <c:pt idx="3">
                  <c:v>48.4735</c:v>
                </c:pt>
                <c:pt idx="4">
                  <c:v>41.7163</c:v>
                </c:pt>
                <c:pt idx="5">
                  <c:v>83.1357</c:v>
                </c:pt>
                <c:pt idx="6">
                  <c:v>75.5411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20357566"/>
        <c:axId val="354198742"/>
      </c:barChart>
      <c:lineChart>
        <c:grouping val="standard"/>
        <c:varyColors val="0"/>
        <c:ser>
          <c:idx val="1"/>
          <c:order val="1"/>
          <c:tx>
            <c:strRef>
              <c:f>[23年原始数据.xlsx]Sheet3!$C$1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rnd">
              <a:solidFill>
                <a:schemeClr val="accent6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[23年原始数据.xlsx]Sheet3!$A$2:$A$8</c:f>
              <c:strCache>
                <c:ptCount val="7"/>
                <c:pt idx="0">
                  <c:v>纺织服装</c:v>
                </c:pt>
                <c:pt idx="1">
                  <c:v>生物医药</c:v>
                </c:pt>
                <c:pt idx="2">
                  <c:v>化工塑料</c:v>
                </c:pt>
                <c:pt idx="3">
                  <c:v>输配电</c:v>
                </c:pt>
                <c:pt idx="4">
                  <c:v>设备制造</c:v>
                </c:pt>
                <c:pt idx="5">
                  <c:v>电子信息</c:v>
                </c:pt>
                <c:pt idx="6">
                  <c:v>食品饮料</c:v>
                </c:pt>
              </c:strCache>
            </c:strRef>
          </c:cat>
          <c:val>
            <c:numRef>
              <c:f>[23年原始数据.xlsx]Sheet3!$C$2:$C$8</c:f>
              <c:numCache>
                <c:formatCode>0.0_ </c:formatCode>
                <c:ptCount val="7"/>
                <c:pt idx="0">
                  <c:v>-8.39297250408899</c:v>
                </c:pt>
                <c:pt idx="1">
                  <c:v>2.86100832876974</c:v>
                </c:pt>
                <c:pt idx="2">
                  <c:v>9.32454918717112</c:v>
                </c:pt>
                <c:pt idx="3">
                  <c:v>-6.62208883957149</c:v>
                </c:pt>
                <c:pt idx="4">
                  <c:v>0.635783921431937</c:v>
                </c:pt>
                <c:pt idx="5">
                  <c:v>15.5891238393966</c:v>
                </c:pt>
                <c:pt idx="6">
                  <c:v>12.6650253950078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864069505"/>
        <c:axId val="360442888"/>
      </c:lineChart>
      <c:catAx>
        <c:axId val="92035756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54198742"/>
        <c:crosses val="autoZero"/>
        <c:auto val="1"/>
        <c:lblAlgn val="ctr"/>
        <c:lblOffset val="100"/>
        <c:noMultiLvlLbl val="0"/>
      </c:catAx>
      <c:valAx>
        <c:axId val="35419874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0357566"/>
        <c:crosses val="autoZero"/>
        <c:crossBetween val="between"/>
      </c:valAx>
      <c:catAx>
        <c:axId val="864069505"/>
        <c:scaling>
          <c:orientation val="minMax"/>
        </c:scaling>
        <c:delete val="1"/>
        <c:axPos val="t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60442888"/>
        <c:crosses val="max"/>
        <c:auto val="1"/>
        <c:lblAlgn val="ctr"/>
        <c:lblOffset val="100"/>
        <c:noMultiLvlLbl val="0"/>
      </c:catAx>
      <c:valAx>
        <c:axId val="360442888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4069505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2018-2023年固定资产投资额增长速度（%）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[工作簿1]Sheet1!$A$2:$A$7</c:f>
              <c:strCache>
                <c:ptCount val="6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  <c:pt idx="5">
                  <c:v>2023年</c:v>
                </c:pt>
              </c:strCache>
            </c:strRef>
          </c:cat>
          <c:val>
            <c:numRef>
              <c:f>[工作簿1]Sheet1!$B$2:$B$7</c:f>
              <c:numCache>
                <c:formatCode>General</c:formatCode>
                <c:ptCount val="6"/>
                <c:pt idx="0">
                  <c:v>25</c:v>
                </c:pt>
                <c:pt idx="1">
                  <c:v>12</c:v>
                </c:pt>
                <c:pt idx="2">
                  <c:v>11.8</c:v>
                </c:pt>
                <c:pt idx="3">
                  <c:v>-26.9</c:v>
                </c:pt>
                <c:pt idx="4">
                  <c:v>-23.1</c:v>
                </c:pt>
                <c:pt idx="5">
                  <c:v>6.9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703995614"/>
        <c:axId val="800035400"/>
      </c:lineChart>
      <c:catAx>
        <c:axId val="70399561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00035400"/>
        <c:crosses val="autoZero"/>
        <c:auto val="1"/>
        <c:lblAlgn val="ctr"/>
        <c:lblOffset val="100"/>
        <c:noMultiLvlLbl val="0"/>
      </c:catAx>
      <c:valAx>
        <c:axId val="8000354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0399561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altLang="en-US">
                <a:solidFill>
                  <a:schemeClr val="tx1"/>
                </a:solidFill>
              </a:rPr>
              <a:t>图   </a:t>
            </a:r>
            <a:r>
              <a:rPr lang="en-US" altLang="zh-CN">
                <a:solidFill>
                  <a:schemeClr val="tx1"/>
                </a:solidFill>
              </a:rPr>
              <a:t>2023</a:t>
            </a:r>
            <a:r>
              <a:rPr altLang="en-US">
                <a:solidFill>
                  <a:schemeClr val="tx1"/>
                </a:solidFill>
              </a:rPr>
              <a:t>年限额以上批发零售业主要行业数据情况</a:t>
            </a:r>
            <a:endParaRPr altLang="en-US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070103071413907"/>
          <c:y val="0.025801958213836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682463253928028"/>
          <c:y val="0.130208333333333"/>
          <c:w val="0.696968692736559"/>
          <c:h val="0.3676041666666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[2023年公报图片.xlsx]Sheet3!$P$4</c:f>
              <c:strCache>
                <c:ptCount val="1"/>
                <c:pt idx="0">
                  <c:v>全年销售额（亿元）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[2023年公报图片.xlsx]Sheet3!$O$5:$O$11</c:f>
              <c:strCache>
                <c:ptCount val="7"/>
                <c:pt idx="0">
                  <c:v>矿产品、建材及化工产品批发</c:v>
                </c:pt>
                <c:pt idx="1">
                  <c:v>医药及医疗器材批发</c:v>
                </c:pt>
                <c:pt idx="2">
                  <c:v>食品、饮料及烟草制品批发</c:v>
                </c:pt>
                <c:pt idx="3">
                  <c:v>汽车、摩托车、零配件和燃料及其他动力销售</c:v>
                </c:pt>
                <c:pt idx="4">
                  <c:v>机械设备、五金产品及电子产品批发</c:v>
                </c:pt>
                <c:pt idx="5">
                  <c:v>文化、体育用品及器材批发</c:v>
                </c:pt>
                <c:pt idx="6">
                  <c:v>纺织、服装及家庭用品批发</c:v>
                </c:pt>
              </c:strCache>
            </c:strRef>
          </c:cat>
          <c:val>
            <c:numRef>
              <c:f>[2023年公报图片.xlsx]Sheet3!$P$5:$P$11</c:f>
              <c:numCache>
                <c:formatCode>0.00_ </c:formatCode>
                <c:ptCount val="7"/>
                <c:pt idx="0">
                  <c:v>349.09087</c:v>
                </c:pt>
                <c:pt idx="1">
                  <c:v>167.99116</c:v>
                </c:pt>
                <c:pt idx="2">
                  <c:v>137.27597</c:v>
                </c:pt>
                <c:pt idx="3">
                  <c:v>134.18473</c:v>
                </c:pt>
                <c:pt idx="4">
                  <c:v>132.6831</c:v>
                </c:pt>
                <c:pt idx="5">
                  <c:v>52.24087</c:v>
                </c:pt>
                <c:pt idx="6">
                  <c:v>19.78698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7"/>
        <c:overlap val="-69"/>
        <c:axId val="827361130"/>
        <c:axId val="540343577"/>
      </c:barChart>
      <c:lineChart>
        <c:grouping val="standard"/>
        <c:varyColors val="0"/>
        <c:ser>
          <c:idx val="1"/>
          <c:order val="1"/>
          <c:tx>
            <c:strRef>
              <c:f>[2023年公报图片.xlsx]Sheet3!$Q$4</c:f>
              <c:strCache>
                <c:ptCount val="1"/>
                <c:pt idx="0">
                  <c:v>全年增速</c:v>
                </c:pt>
              </c:strCache>
            </c:strRef>
          </c:tx>
          <c:spPr>
            <a:ln w="19050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75000"/>
                </a:schemeClr>
              </a:solidFill>
              <a:ln w="9525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[2023年公报图片.xlsx]Sheet3!$O$5:$O$11</c:f>
              <c:strCache>
                <c:ptCount val="7"/>
                <c:pt idx="0">
                  <c:v>矿产品、建材及化工产品批发</c:v>
                </c:pt>
                <c:pt idx="1">
                  <c:v>医药及医疗器材批发</c:v>
                </c:pt>
                <c:pt idx="2">
                  <c:v>食品、饮料及烟草制品批发</c:v>
                </c:pt>
                <c:pt idx="3">
                  <c:v>汽车、摩托车、零配件和燃料及其他动力销售</c:v>
                </c:pt>
                <c:pt idx="4">
                  <c:v>机械设备、五金产品及电子产品批发</c:v>
                </c:pt>
                <c:pt idx="5">
                  <c:v>文化、体育用品及器材批发</c:v>
                </c:pt>
                <c:pt idx="6">
                  <c:v>纺织、服装及家庭用品批发</c:v>
                </c:pt>
              </c:strCache>
            </c:strRef>
          </c:cat>
          <c:val>
            <c:numRef>
              <c:f>[2023年公报图片.xlsx]Sheet3!$Q$5:$Q$11</c:f>
              <c:numCache>
                <c:formatCode>0.0%</c:formatCode>
                <c:ptCount val="7"/>
                <c:pt idx="0">
                  <c:v>0.300666960414204</c:v>
                </c:pt>
                <c:pt idx="1">
                  <c:v>0.0868564322966033</c:v>
                </c:pt>
                <c:pt idx="2">
                  <c:v>0.00557322799507816</c:v>
                </c:pt>
                <c:pt idx="3">
                  <c:v>-0.0373302949110516</c:v>
                </c:pt>
                <c:pt idx="4">
                  <c:v>-0.280069330503452</c:v>
                </c:pt>
                <c:pt idx="5">
                  <c:v>0.238577783594381</c:v>
                </c:pt>
                <c:pt idx="6">
                  <c:v>0.00675580791891804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57001804"/>
        <c:axId val="604860037"/>
      </c:lineChart>
      <c:catAx>
        <c:axId val="82736113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eaVert" wrap="square" anchor="ctr" anchorCtr="0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540343577"/>
        <c:crosses val="autoZero"/>
        <c:auto val="1"/>
        <c:lblAlgn val="ctr"/>
        <c:lblOffset val="100"/>
        <c:noMultiLvlLbl val="0"/>
      </c:catAx>
      <c:valAx>
        <c:axId val="54034357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);[Red]\(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</a:p>
        </c:txPr>
        <c:crossAx val="827361130"/>
        <c:crosses val="autoZero"/>
        <c:crossBetween val="between"/>
      </c:valAx>
      <c:catAx>
        <c:axId val="25700180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04860037"/>
        <c:crosses val="autoZero"/>
        <c:auto val="1"/>
        <c:lblAlgn val="ctr"/>
        <c:lblOffset val="100"/>
        <c:noMultiLvlLbl val="0"/>
      </c:catAx>
      <c:valAx>
        <c:axId val="604860037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solidFill>
            <a:schemeClr val="bg1"/>
          </a:solidFill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</a:p>
        </c:txPr>
        <c:crossAx val="25700180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475387051396404"/>
          <c:y val="0.938582185426469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rot="5400000" vert="horz"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2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28575" cap="rnd">
        <a:solidFill>
          <a:schemeClr val="phClr"/>
        </a:solidFill>
        <a:round/>
      </a:ln>
      <a:effectLst/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431</Words>
  <Characters>614</Characters>
  <Lines>44</Lines>
  <Paragraphs>12</Paragraphs>
  <ScaleCrop>false</ScaleCrop>
  <LinksUpToDate>false</LinksUpToDate>
  <CharactersWithSpaces>671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2018-04-18T04:03:00Z</dcterms:created>
  <dc:creator>微软用户</dc:creator>
  <cp:lastModifiedBy>user</cp:lastModifiedBy>
  <cp:lastPrinted>2024-04-10T08:45:00Z</cp:lastPrinted>
  <dcterms:modified xsi:type="dcterms:W3CDTF">2024-04-18T02:48:58Z</dcterms:modified>
  <dc:title>user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D70316A70CAF4522809F2FA43787C654</vt:lpwstr>
  </property>
</Properties>
</file>