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bookmarkStart w:id="1" w:name="_GoBack"/>
      <w:bookmarkEnd w:id="1"/>
      <w:bookmarkStart w:id="0" w:name="OLE_LINK2"/>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汕头市龙湖区2017年度第七批次城市建设用地农用地转用和土地征收实施方案</w:t>
      </w:r>
    </w:p>
    <w:p>
      <w:pPr>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征收土地补偿安置方案</w:t>
      </w:r>
    </w:p>
    <w:bookmarkEnd w:id="0"/>
    <w:p>
      <w:pPr>
        <w:spacing w:line="560" w:lineRule="exact"/>
        <w:ind w:firstLine="883" w:firstLineChars="200"/>
        <w:jc w:val="center"/>
        <w:rPr>
          <w:rFonts w:ascii="仿宋_GB2312" w:eastAsia="仿宋_GB2312"/>
          <w:b/>
          <w:sz w:val="44"/>
          <w:szCs w:val="44"/>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因城市建设需要，</w:t>
      </w:r>
      <w:r>
        <w:rPr>
          <w:rFonts w:hint="eastAsia" w:eastAsia="仿宋_GB2312"/>
          <w:sz w:val="32"/>
          <w:szCs w:val="32"/>
        </w:rPr>
        <w:t>龙湖现代产业园南翔路（迎宾路—滨砂路）</w:t>
      </w:r>
      <w:r>
        <w:rPr>
          <w:rFonts w:hint="eastAsia" w:eastAsia="仿宋_GB2312"/>
          <w:sz w:val="32"/>
          <w:szCs w:val="32"/>
          <w:lang w:eastAsia="zh-CN"/>
        </w:rPr>
        <w:t>（</w:t>
      </w:r>
      <w:r>
        <w:rPr>
          <w:rFonts w:hint="eastAsia" w:eastAsia="仿宋_GB2312"/>
          <w:sz w:val="32"/>
          <w:szCs w:val="32"/>
          <w:lang w:val="en-US" w:eastAsia="zh-CN"/>
        </w:rPr>
        <w:t>李厝部分</w:t>
      </w:r>
      <w:r>
        <w:rPr>
          <w:rFonts w:hint="eastAsia" w:eastAsia="仿宋_GB2312"/>
          <w:sz w:val="32"/>
          <w:szCs w:val="32"/>
          <w:lang w:eastAsia="zh-CN"/>
        </w:rPr>
        <w:t>）</w:t>
      </w:r>
      <w:r>
        <w:rPr>
          <w:rFonts w:hint="eastAsia" w:eastAsia="仿宋_GB2312"/>
          <w:sz w:val="32"/>
          <w:szCs w:val="32"/>
        </w:rPr>
        <w:t>道路改造范围集体土地征收</w:t>
      </w:r>
      <w:r>
        <w:rPr>
          <w:rFonts w:hint="eastAsia" w:eastAsia="仿宋_GB2312"/>
          <w:sz w:val="32"/>
          <w:szCs w:val="32"/>
          <w:lang w:val="en-US" w:eastAsia="zh-CN"/>
        </w:rPr>
        <w:t>工作</w:t>
      </w:r>
      <w:r>
        <w:rPr>
          <w:rFonts w:hint="eastAsia" w:ascii="仿宋_GB2312" w:eastAsia="仿宋_GB2312"/>
          <w:sz w:val="32"/>
          <w:szCs w:val="32"/>
        </w:rPr>
        <w:t>拟征收龙湖区</w:t>
      </w:r>
      <w:r>
        <w:rPr>
          <w:rFonts w:hint="eastAsia" w:eastAsia="仿宋_GB2312"/>
          <w:sz w:val="32"/>
          <w:szCs w:val="32"/>
          <w:lang w:eastAsia="zh-CN"/>
        </w:rPr>
        <w:t>外砂街道李厝经济联合社</w:t>
      </w:r>
      <w:r>
        <w:rPr>
          <w:rFonts w:hint="eastAsia" w:eastAsia="仿宋_GB2312"/>
          <w:sz w:val="32"/>
          <w:szCs w:val="32"/>
        </w:rPr>
        <w:t>集体所有土地</w:t>
      </w:r>
      <w:r>
        <w:rPr>
          <w:rFonts w:hint="eastAsia" w:ascii="仿宋_GB2312" w:eastAsia="仿宋_GB2312"/>
          <w:sz w:val="32"/>
          <w:szCs w:val="32"/>
          <w:lang w:val="en-US" w:eastAsia="zh-CN"/>
        </w:rPr>
        <w:t>2.2692</w:t>
      </w:r>
      <w:r>
        <w:rPr>
          <w:rFonts w:eastAsia="仿宋_GB2312"/>
          <w:sz w:val="32"/>
          <w:szCs w:val="32"/>
        </w:rPr>
        <w:t>公顷</w:t>
      </w:r>
      <w:r>
        <w:rPr>
          <w:rFonts w:hint="eastAsia" w:ascii="仿宋_GB2312" w:eastAsia="仿宋_GB2312"/>
          <w:sz w:val="32"/>
          <w:szCs w:val="32"/>
        </w:rPr>
        <w:t>。根据</w:t>
      </w:r>
      <w:r>
        <w:rPr>
          <w:rFonts w:hint="eastAsia" w:ascii="仿宋_GB2312" w:hAnsi="宋体" w:eastAsia="仿宋_GB2312"/>
          <w:sz w:val="32"/>
          <w:szCs w:val="32"/>
        </w:rPr>
        <w:t>《中华人民共和国土地管理法》等法律法规，拟订如下征地补偿安置方案：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一、征收土地用途</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本批次拟征收龙湖区</w:t>
      </w:r>
      <w:r>
        <w:rPr>
          <w:rFonts w:hint="eastAsia" w:eastAsia="仿宋_GB2312"/>
          <w:sz w:val="32"/>
          <w:szCs w:val="32"/>
          <w:lang w:eastAsia="zh-CN"/>
        </w:rPr>
        <w:t>外砂街道李厝经济联合社</w:t>
      </w:r>
      <w:r>
        <w:rPr>
          <w:rFonts w:hint="eastAsia" w:ascii="仿宋_GB2312" w:eastAsia="仿宋_GB2312"/>
          <w:sz w:val="32"/>
          <w:szCs w:val="32"/>
        </w:rPr>
        <w:t>集体土地</w:t>
      </w:r>
      <w:r>
        <w:rPr>
          <w:rFonts w:hint="eastAsia" w:ascii="仿宋_GB2312" w:eastAsia="仿宋_GB2312"/>
          <w:sz w:val="32"/>
          <w:szCs w:val="32"/>
          <w:lang w:val="en-US" w:eastAsia="zh-CN"/>
        </w:rPr>
        <w:t>2.2692</w:t>
      </w:r>
      <w:r>
        <w:rPr>
          <w:rFonts w:hint="eastAsia" w:ascii="仿宋_GB2312" w:eastAsia="仿宋_GB2312"/>
          <w:sz w:val="32"/>
          <w:szCs w:val="32"/>
        </w:rPr>
        <w:t>公顷，作为城市建设用地。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二、被征收土地的权属、面积及地类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本批次拟征收位于</w:t>
      </w:r>
      <w:r>
        <w:rPr>
          <w:rFonts w:hint="eastAsia" w:ascii="仿宋_GB2312" w:eastAsia="仿宋_GB2312"/>
          <w:sz w:val="32"/>
          <w:szCs w:val="32"/>
          <w:lang w:eastAsia="zh-CN"/>
        </w:rPr>
        <w:t>外砂街道李厝经济联合社</w:t>
      </w:r>
      <w:r>
        <w:rPr>
          <w:rFonts w:hint="eastAsia" w:ascii="仿宋_GB2312" w:eastAsia="仿宋_GB2312"/>
          <w:sz w:val="32"/>
          <w:szCs w:val="32"/>
        </w:rPr>
        <w:t>辖区的集体土地</w:t>
      </w:r>
      <w:r>
        <w:rPr>
          <w:rFonts w:hint="eastAsia" w:ascii="仿宋_GB2312" w:eastAsia="仿宋_GB2312"/>
          <w:sz w:val="32"/>
          <w:szCs w:val="32"/>
          <w:lang w:val="en-US" w:eastAsia="zh-CN"/>
        </w:rPr>
        <w:t>2.2692</w:t>
      </w:r>
      <w:r>
        <w:rPr>
          <w:rFonts w:hint="eastAsia" w:ascii="仿宋_GB2312" w:eastAsia="仿宋_GB2312"/>
          <w:sz w:val="32"/>
          <w:szCs w:val="32"/>
        </w:rPr>
        <w:t>公顷，土地权属为</w:t>
      </w:r>
      <w:r>
        <w:rPr>
          <w:rFonts w:hint="eastAsia" w:ascii="仿宋_GB2312" w:eastAsia="仿宋_GB2312"/>
          <w:sz w:val="32"/>
          <w:szCs w:val="32"/>
          <w:lang w:eastAsia="zh-CN"/>
        </w:rPr>
        <w:t>李厝</w:t>
      </w:r>
      <w:r>
        <w:rPr>
          <w:rFonts w:hint="eastAsia" w:ascii="仿宋_GB2312" w:eastAsia="仿宋_GB2312"/>
          <w:sz w:val="32"/>
          <w:szCs w:val="32"/>
        </w:rPr>
        <w:t>经济联合社所有，地类为</w:t>
      </w:r>
      <w:r>
        <w:rPr>
          <w:rFonts w:ascii="Times New Roman" w:hAnsi="Times New Roman" w:eastAsia="仿宋_GB2312"/>
          <w:sz w:val="32"/>
          <w:szCs w:val="32"/>
        </w:rPr>
        <w:t>农用地</w:t>
      </w:r>
      <w:r>
        <w:rPr>
          <w:rFonts w:hint="eastAsia" w:ascii="仿宋_GB2312" w:eastAsia="仿宋_GB2312"/>
          <w:sz w:val="32"/>
          <w:szCs w:val="32"/>
          <w:lang w:val="en-US" w:eastAsia="zh-CN"/>
        </w:rPr>
        <w:t>1.3787</w:t>
      </w:r>
      <w:r>
        <w:rPr>
          <w:rFonts w:hint="eastAsia" w:ascii="仿宋_GB2312" w:eastAsia="仿宋_GB2312"/>
          <w:sz w:val="32"/>
          <w:szCs w:val="32"/>
        </w:rPr>
        <w:t>公顷，建设用地</w:t>
      </w:r>
      <w:r>
        <w:rPr>
          <w:rFonts w:hint="eastAsia" w:ascii="仿宋_GB2312" w:eastAsia="仿宋_GB2312"/>
          <w:sz w:val="32"/>
          <w:szCs w:val="32"/>
          <w:lang w:val="en-US" w:eastAsia="zh-CN"/>
        </w:rPr>
        <w:t>0.8905</w:t>
      </w:r>
      <w:r>
        <w:rPr>
          <w:rFonts w:ascii="Times New Roman" w:hAnsi="Times New Roman" w:eastAsia="仿宋_GB2312"/>
          <w:sz w:val="32"/>
          <w:szCs w:val="32"/>
        </w:rPr>
        <w:t>公顷</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三、征地补偿及安置途径</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w:t>
      </w:r>
      <w:r>
        <w:rPr>
          <w:rFonts w:hint="eastAsia" w:ascii="仿宋_GB2312" w:eastAsia="仿宋_GB2312"/>
          <w:sz w:val="32"/>
          <w:szCs w:val="32"/>
        </w:rPr>
        <w:t>批次</w:t>
      </w:r>
      <w:r>
        <w:rPr>
          <w:rFonts w:hint="eastAsia" w:ascii="仿宋_GB2312" w:hAnsi="宋体" w:eastAsia="仿宋_GB2312"/>
          <w:sz w:val="32"/>
          <w:szCs w:val="32"/>
        </w:rPr>
        <w:t>拟征收土地的征地补偿款总额为</w:t>
      </w:r>
      <w:r>
        <w:rPr>
          <w:rFonts w:hint="eastAsia" w:ascii="仿宋_GB2312" w:hAnsi="宋体" w:eastAsia="仿宋_GB2312"/>
          <w:sz w:val="32"/>
          <w:szCs w:val="32"/>
          <w:lang w:val="en-US" w:eastAsia="zh-CN"/>
        </w:rPr>
        <w:t>1048.9819</w:t>
      </w:r>
      <w:r>
        <w:rPr>
          <w:rFonts w:hint="eastAsia" w:ascii="仿宋_GB2312" w:hAnsi="宋体" w:eastAsia="仿宋_GB2312"/>
          <w:sz w:val="32"/>
          <w:szCs w:val="32"/>
        </w:rPr>
        <w:t>万元，安置途径采用货币安置、留用地</w:t>
      </w:r>
      <w:r>
        <w:rPr>
          <w:rFonts w:ascii="Times New Roman" w:hAnsi="Times New Roman" w:eastAsia="仿宋_GB2312"/>
          <w:sz w:val="32"/>
          <w:szCs w:val="32"/>
        </w:rPr>
        <w:t>折算</w:t>
      </w:r>
      <w:r>
        <w:rPr>
          <w:rFonts w:hint="eastAsia" w:eastAsia="仿宋_GB2312"/>
          <w:sz w:val="32"/>
          <w:szCs w:val="32"/>
          <w:lang w:val="en-US" w:eastAsia="zh-CN"/>
        </w:rPr>
        <w:t>货币补偿</w:t>
      </w:r>
      <w:r>
        <w:rPr>
          <w:rFonts w:hint="eastAsia" w:ascii="仿宋_GB2312" w:hAnsi="宋体" w:eastAsia="仿宋_GB2312"/>
          <w:sz w:val="32"/>
          <w:szCs w:val="32"/>
        </w:rPr>
        <w:t>和社会保险安置相结合的方式。具体情况是：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（一）货币安置。本批次征收土地面积</w:t>
      </w:r>
      <w:r>
        <w:rPr>
          <w:rFonts w:hint="eastAsia" w:ascii="仿宋_GB2312" w:eastAsia="仿宋_GB2312"/>
          <w:sz w:val="32"/>
          <w:szCs w:val="32"/>
          <w:lang w:val="en-US" w:eastAsia="zh-CN"/>
        </w:rPr>
        <w:t>2.2692</w:t>
      </w:r>
      <w:r>
        <w:rPr>
          <w:rFonts w:hint="eastAsia" w:ascii="仿宋_GB2312" w:eastAsia="仿宋_GB2312"/>
          <w:sz w:val="32"/>
          <w:szCs w:val="32"/>
        </w:rPr>
        <w:t>公顷，征地补偿款总额为</w:t>
      </w:r>
      <w:r>
        <w:rPr>
          <w:rFonts w:hint="eastAsia" w:ascii="仿宋_GB2312" w:eastAsia="仿宋_GB2312"/>
          <w:sz w:val="32"/>
          <w:szCs w:val="32"/>
          <w:lang w:val="en-US" w:eastAsia="zh-CN"/>
        </w:rPr>
        <w:t>631.7453</w:t>
      </w:r>
      <w:r>
        <w:rPr>
          <w:rFonts w:hint="eastAsia" w:ascii="仿宋_GB2312" w:eastAsia="仿宋_GB2312"/>
          <w:sz w:val="32"/>
          <w:szCs w:val="32"/>
        </w:rPr>
        <w:t>万元（补偿标准为</w:t>
      </w:r>
      <w:r>
        <w:rPr>
          <w:rFonts w:hint="eastAsia" w:ascii="仿宋_GB2312" w:eastAsia="仿宋_GB2312"/>
          <w:sz w:val="32"/>
          <w:szCs w:val="32"/>
          <w:lang w:val="en-US" w:eastAsia="zh-CN"/>
        </w:rPr>
        <w:t>278.4</w:t>
      </w:r>
      <w:r>
        <w:rPr>
          <w:rFonts w:hint="eastAsia" w:ascii="仿宋_GB2312" w:eastAsia="仿宋_GB2312"/>
          <w:sz w:val="32"/>
          <w:szCs w:val="32"/>
        </w:rPr>
        <w:t>万元/公顷），包含土地补偿和安置补助费。征地补偿款支付还龙湖区</w:t>
      </w:r>
      <w:r>
        <w:rPr>
          <w:rFonts w:hint="eastAsia" w:ascii="仿宋_GB2312" w:eastAsia="仿宋_GB2312"/>
          <w:sz w:val="32"/>
          <w:szCs w:val="32"/>
          <w:lang w:eastAsia="zh-CN"/>
        </w:rPr>
        <w:t>外砂街道李厝经济联合社</w:t>
      </w:r>
      <w:r>
        <w:rPr>
          <w:rFonts w:hint="eastAsia" w:ascii="仿宋_GB2312" w:eastAsia="仿宋_GB2312"/>
          <w:sz w:val="32"/>
          <w:szCs w:val="32"/>
        </w:rPr>
        <w:t>后，由该经联社根据实际情况和有关规定负责落实安置。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Times New Roman" w:hAnsi="Times New Roman" w:eastAsia="仿宋_GB2312"/>
          <w:sz w:val="32"/>
          <w:szCs w:val="32"/>
        </w:rPr>
        <w:t>留用地折算货币补偿</w:t>
      </w:r>
      <w:r>
        <w:rPr>
          <w:rFonts w:hint="eastAsia" w:ascii="仿宋_GB2312" w:eastAsia="仿宋_GB2312"/>
          <w:sz w:val="32"/>
          <w:szCs w:val="32"/>
        </w:rPr>
        <w:t>。本项目征收土地面积</w:t>
      </w:r>
      <w:r>
        <w:rPr>
          <w:rFonts w:hint="eastAsia" w:ascii="仿宋_GB2312" w:eastAsia="仿宋_GB2312"/>
          <w:sz w:val="32"/>
          <w:szCs w:val="32"/>
          <w:lang w:val="en-US" w:eastAsia="zh-CN"/>
        </w:rPr>
        <w:t>2.2692</w:t>
      </w:r>
      <w:r>
        <w:rPr>
          <w:rFonts w:hint="eastAsia" w:ascii="仿宋_GB2312" w:eastAsia="仿宋_GB2312"/>
          <w:sz w:val="32"/>
          <w:szCs w:val="32"/>
        </w:rPr>
        <w:t>公顷，根据《广东省关于加强征收农村集体土地留用地安置管理工作的意见》（粤府办〔2016〕30号）文件规定，按实际征收土地面积的15%比例给被征地经联社安排留用地，共</w:t>
      </w:r>
      <w:r>
        <w:rPr>
          <w:rFonts w:hint="eastAsia" w:ascii="仿宋_GB2312" w:eastAsia="仿宋_GB2312"/>
          <w:sz w:val="32"/>
          <w:szCs w:val="32"/>
          <w:lang w:val="en-US" w:eastAsia="zh-CN"/>
        </w:rPr>
        <w:t>3404</w:t>
      </w:r>
      <w:r>
        <w:rPr>
          <w:rFonts w:hint="eastAsia" w:ascii="仿宋_GB2312" w:eastAsia="仿宋_GB2312"/>
          <w:sz w:val="32"/>
          <w:szCs w:val="32"/>
        </w:rPr>
        <w:t>平方米（折合</w:t>
      </w:r>
      <w:r>
        <w:rPr>
          <w:rFonts w:hint="eastAsia" w:ascii="仿宋_GB2312" w:eastAsia="仿宋_GB2312"/>
          <w:sz w:val="32"/>
          <w:szCs w:val="32"/>
          <w:lang w:val="en-US" w:eastAsia="zh-CN"/>
        </w:rPr>
        <w:t>5.106</w:t>
      </w:r>
      <w:r>
        <w:rPr>
          <w:rFonts w:hint="eastAsia" w:ascii="仿宋_GB2312" w:eastAsia="仿宋_GB2312"/>
          <w:sz w:val="32"/>
          <w:szCs w:val="32"/>
        </w:rPr>
        <w:t>亩），经召开村民代表大会讨论同意，</w:t>
      </w:r>
      <w:r>
        <w:rPr>
          <w:rFonts w:hint="eastAsia" w:ascii="仿宋_GB2312" w:eastAsia="仿宋_GB2312"/>
          <w:sz w:val="32"/>
          <w:szCs w:val="32"/>
          <w:lang w:val="en-US" w:eastAsia="zh-CN"/>
        </w:rPr>
        <w:t>外砂街道李厝经联</w:t>
      </w:r>
      <w:r>
        <w:rPr>
          <w:rFonts w:hint="eastAsia" w:ascii="仿宋_GB2312" w:eastAsia="仿宋_GB2312"/>
          <w:sz w:val="32"/>
          <w:szCs w:val="32"/>
        </w:rPr>
        <w:t>社选择将留用地折算成货币补偿</w:t>
      </w:r>
      <w:r>
        <w:rPr>
          <w:rFonts w:hint="eastAsia" w:ascii="仿宋_GB2312" w:eastAsia="仿宋_GB2312"/>
          <w:sz w:val="32"/>
          <w:szCs w:val="32"/>
          <w:lang w:eastAsia="zh-CN"/>
        </w:rPr>
        <w:t>，</w:t>
      </w:r>
      <w:r>
        <w:rPr>
          <w:rFonts w:hint="eastAsia" w:ascii="仿宋_GB2312" w:eastAsia="仿宋_GB2312"/>
          <w:sz w:val="32"/>
          <w:szCs w:val="32"/>
        </w:rPr>
        <w:t>补偿标准为</w:t>
      </w:r>
      <w:r>
        <w:rPr>
          <w:rFonts w:hint="eastAsia" w:ascii="仿宋_GB2312" w:eastAsia="仿宋_GB2312"/>
          <w:sz w:val="32"/>
          <w:szCs w:val="32"/>
          <w:lang w:val="en-US" w:eastAsia="zh-CN"/>
        </w:rPr>
        <w:t>792</w:t>
      </w:r>
      <w:r>
        <w:rPr>
          <w:rFonts w:hint="eastAsia" w:ascii="仿宋_GB2312" w:eastAsia="仿宋_GB2312"/>
          <w:sz w:val="32"/>
          <w:szCs w:val="32"/>
        </w:rPr>
        <w:t>万元/公顷，补偿总额为</w:t>
      </w:r>
      <w:r>
        <w:rPr>
          <w:rFonts w:hint="eastAsia" w:ascii="仿宋_GB2312" w:eastAsia="仿宋_GB2312"/>
          <w:sz w:val="32"/>
          <w:szCs w:val="32"/>
          <w:lang w:val="en-US" w:eastAsia="zh-CN"/>
        </w:rPr>
        <w:t>269.5968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支持被征地经联社发展集体经济。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（三）社会保险安置。本项目征地涉及有关社保问题，将</w:t>
      </w:r>
      <w:r>
        <w:rPr>
          <w:rFonts w:eastAsia="仿宋_GB2312"/>
          <w:sz w:val="32"/>
          <w:szCs w:val="32"/>
        </w:rPr>
        <w:t>根据《广东省人民政府办公厅转发省人力资源社会保障厅关于进一步完善我省被征地农民养老保障政策意见的通知》（</w:t>
      </w:r>
      <w:r>
        <w:rPr>
          <w:rFonts w:hint="eastAsia" w:ascii="仿宋_GB2312" w:eastAsia="仿宋_GB2312"/>
          <w:sz w:val="32"/>
          <w:szCs w:val="32"/>
        </w:rPr>
        <w:t>粤府办〔2021〕22号）规定办理，费用合计</w:t>
      </w:r>
      <w:r>
        <w:rPr>
          <w:rFonts w:hint="eastAsia" w:ascii="仿宋_GB2312" w:eastAsia="仿宋_GB2312"/>
          <w:sz w:val="32"/>
          <w:szCs w:val="32"/>
          <w:lang w:val="en-US" w:eastAsia="zh-CN"/>
        </w:rPr>
        <w:t>147.639825</w:t>
      </w:r>
      <w:r>
        <w:rPr>
          <w:rFonts w:eastAsia="仿宋_GB2312"/>
          <w:sz w:val="32"/>
          <w:szCs w:val="32"/>
        </w:rPr>
        <w:t>万元，专</w:t>
      </w:r>
      <w:r>
        <w:rPr>
          <w:rFonts w:hint="eastAsia" w:eastAsia="仿宋_GB2312"/>
          <w:sz w:val="32"/>
          <w:szCs w:val="32"/>
          <w:lang w:val="en-US" w:eastAsia="zh-CN"/>
        </w:rPr>
        <w:t>项</w:t>
      </w:r>
      <w:r>
        <w:rPr>
          <w:rFonts w:eastAsia="仿宋_GB2312"/>
          <w:sz w:val="32"/>
          <w:szCs w:val="32"/>
        </w:rPr>
        <w:t>用于</w:t>
      </w:r>
      <w:r>
        <w:rPr>
          <w:rFonts w:hint="eastAsia" w:eastAsia="仿宋_GB2312"/>
          <w:sz w:val="32"/>
          <w:szCs w:val="32"/>
          <w:lang w:val="en-US" w:eastAsia="zh-CN"/>
        </w:rPr>
        <w:t>为符合条件的</w:t>
      </w:r>
      <w:r>
        <w:rPr>
          <w:rFonts w:eastAsia="仿宋_GB2312"/>
          <w:sz w:val="32"/>
          <w:szCs w:val="32"/>
        </w:rPr>
        <w:t>被征地农民</w:t>
      </w:r>
      <w:r>
        <w:rPr>
          <w:rFonts w:hint="eastAsia" w:eastAsia="仿宋_GB2312"/>
          <w:sz w:val="32"/>
          <w:szCs w:val="32"/>
          <w:lang w:val="en-US" w:eastAsia="zh-CN"/>
        </w:rPr>
        <w:t>办理征地社保费补贴</w:t>
      </w:r>
      <w:r>
        <w:rPr>
          <w:rFonts w:hint="eastAsia" w:eastAsia="仿宋_GB2312"/>
          <w:sz w:val="32"/>
          <w:szCs w:val="32"/>
        </w:rPr>
        <w:t>。</w:t>
      </w: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p>
    <w:p>
      <w:pPr>
        <w:spacing w:line="520" w:lineRule="exact"/>
        <w:ind w:right="640"/>
        <w:jc w:val="right"/>
        <w:rPr>
          <w:rFonts w:ascii="仿宋_GB2312" w:hAnsi="仿宋" w:eastAsia="仿宋_GB2312" w:cs="宋体"/>
          <w:sz w:val="32"/>
          <w:szCs w:val="32"/>
        </w:rPr>
      </w:pPr>
      <w:r>
        <w:rPr>
          <w:rFonts w:hint="eastAsia" w:ascii="仿宋_GB2312" w:hAnsi="仿宋" w:eastAsia="仿宋_GB2312" w:cs="宋体"/>
          <w:sz w:val="32"/>
          <w:szCs w:val="32"/>
        </w:rPr>
        <w:t>汕头市自然资源局龙湖分局</w:t>
      </w:r>
    </w:p>
    <w:p>
      <w:pPr>
        <w:spacing w:line="520" w:lineRule="exact"/>
        <w:ind w:right="1280"/>
        <w:jc w:val="right"/>
        <w:rPr>
          <w:rFonts w:hint="default" w:ascii="仿宋_GB2312" w:hAnsi="仿宋" w:eastAsia="仿宋_GB2312" w:cs="宋体"/>
          <w:sz w:val="32"/>
          <w:szCs w:val="32"/>
          <w:lang w:val="en-US" w:eastAsia="zh-CN"/>
        </w:rPr>
      </w:pPr>
      <w:r>
        <w:rPr>
          <w:rFonts w:hint="eastAsia" w:ascii="仿宋_GB2312" w:hAnsi="仿宋" w:eastAsia="仿宋_GB2312" w:cs="宋体"/>
          <w:sz w:val="32"/>
          <w:szCs w:val="32"/>
        </w:rPr>
        <w:t>20</w:t>
      </w:r>
      <w:r>
        <w:rPr>
          <w:rFonts w:hint="eastAsia" w:ascii="仿宋_GB2312" w:hAnsi="仿宋" w:eastAsia="仿宋_GB2312" w:cs="宋体"/>
          <w:sz w:val="32"/>
          <w:szCs w:val="32"/>
          <w:lang w:val="en-US" w:eastAsia="zh-CN"/>
        </w:rPr>
        <w:t>24</w:t>
      </w:r>
      <w:r>
        <w:rPr>
          <w:rFonts w:hint="eastAsia" w:ascii="仿宋_GB2312" w:hAnsi="仿宋" w:eastAsia="仿宋_GB2312" w:cs="宋体"/>
          <w:sz w:val="32"/>
          <w:szCs w:val="32"/>
        </w:rPr>
        <w:t>年</w:t>
      </w:r>
      <w:r>
        <w:rPr>
          <w:rFonts w:hint="eastAsia" w:ascii="仿宋_GB2312" w:hAnsi="仿宋" w:eastAsia="仿宋_GB2312" w:cs="宋体"/>
          <w:sz w:val="32"/>
          <w:szCs w:val="32"/>
          <w:lang w:val="en-US" w:eastAsia="zh-CN"/>
        </w:rPr>
        <w:t>3月25日</w:t>
      </w:r>
    </w:p>
    <w:p>
      <w:pPr>
        <w:spacing w:line="520" w:lineRule="exact"/>
        <w:ind w:right="1280"/>
        <w:jc w:val="right"/>
        <w:rPr>
          <w:rFonts w:ascii="仿宋_GB2312" w:hAnsi="仿宋" w:eastAsia="仿宋_GB2312" w:cs="宋体"/>
          <w:sz w:val="32"/>
          <w:szCs w:val="32"/>
        </w:rPr>
      </w:pPr>
    </w:p>
    <w:p>
      <w:pPr>
        <w:spacing w:line="520" w:lineRule="exact"/>
        <w:ind w:right="1280"/>
        <w:jc w:val="right"/>
        <w:rPr>
          <w:rFonts w:ascii="仿宋_GB2312" w:hAnsi="仿宋" w:eastAsia="仿宋_GB2312" w:cs="宋体"/>
          <w:sz w:val="32"/>
          <w:szCs w:val="32"/>
        </w:rPr>
      </w:pPr>
    </w:p>
    <w:p>
      <w:pPr>
        <w:spacing w:line="520" w:lineRule="exact"/>
        <w:ind w:right="1280"/>
        <w:jc w:val="right"/>
        <w:rPr>
          <w:rFonts w:ascii="仿宋_GB2312" w:hAnsi="仿宋" w:eastAsia="仿宋_GB2312" w:cs="宋体"/>
          <w:sz w:val="32"/>
          <w:szCs w:val="32"/>
        </w:rPr>
      </w:pPr>
    </w:p>
    <w:p>
      <w:pPr>
        <w:spacing w:line="520" w:lineRule="exact"/>
        <w:ind w:right="1280"/>
        <w:rPr>
          <w:rFonts w:ascii="仿宋_GB2312" w:hAnsi="仿宋" w:eastAsia="仿宋_GB2312"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3MDdmMjY5M2U0YjIyMTk3YTkxYzIwOTBkNmI3OWMifQ=="/>
  </w:docVars>
  <w:rsids>
    <w:rsidRoot w:val="004B4C43"/>
    <w:rsid w:val="0000412F"/>
    <w:rsid w:val="00006C81"/>
    <w:rsid w:val="00043A49"/>
    <w:rsid w:val="0004499E"/>
    <w:rsid w:val="00047B12"/>
    <w:rsid w:val="00054D42"/>
    <w:rsid w:val="00062EE7"/>
    <w:rsid w:val="00090781"/>
    <w:rsid w:val="000C2C12"/>
    <w:rsid w:val="000C7BA4"/>
    <w:rsid w:val="00144A8E"/>
    <w:rsid w:val="00154716"/>
    <w:rsid w:val="00187A8F"/>
    <w:rsid w:val="001C0780"/>
    <w:rsid w:val="001D1756"/>
    <w:rsid w:val="002213EC"/>
    <w:rsid w:val="00273B31"/>
    <w:rsid w:val="00284439"/>
    <w:rsid w:val="002A3B2D"/>
    <w:rsid w:val="002D3FD6"/>
    <w:rsid w:val="002E671F"/>
    <w:rsid w:val="00330098"/>
    <w:rsid w:val="00341054"/>
    <w:rsid w:val="00342D98"/>
    <w:rsid w:val="003A2CA3"/>
    <w:rsid w:val="003B11CC"/>
    <w:rsid w:val="003C16F7"/>
    <w:rsid w:val="003C3E28"/>
    <w:rsid w:val="003C4848"/>
    <w:rsid w:val="00407706"/>
    <w:rsid w:val="00440D7E"/>
    <w:rsid w:val="00445D38"/>
    <w:rsid w:val="0045714B"/>
    <w:rsid w:val="00461E62"/>
    <w:rsid w:val="00470A7C"/>
    <w:rsid w:val="0049462F"/>
    <w:rsid w:val="004B4436"/>
    <w:rsid w:val="004B4C43"/>
    <w:rsid w:val="004C697C"/>
    <w:rsid w:val="004E7CE2"/>
    <w:rsid w:val="004F4655"/>
    <w:rsid w:val="005129CA"/>
    <w:rsid w:val="00516153"/>
    <w:rsid w:val="00545F8F"/>
    <w:rsid w:val="00556642"/>
    <w:rsid w:val="00560BB2"/>
    <w:rsid w:val="005765F5"/>
    <w:rsid w:val="005D2074"/>
    <w:rsid w:val="00603349"/>
    <w:rsid w:val="00613E40"/>
    <w:rsid w:val="00615D55"/>
    <w:rsid w:val="0063489D"/>
    <w:rsid w:val="0070660F"/>
    <w:rsid w:val="007222E5"/>
    <w:rsid w:val="007338E1"/>
    <w:rsid w:val="00740CF4"/>
    <w:rsid w:val="00765CAC"/>
    <w:rsid w:val="007948B6"/>
    <w:rsid w:val="007A4A0A"/>
    <w:rsid w:val="007B6B78"/>
    <w:rsid w:val="007F1345"/>
    <w:rsid w:val="008838DD"/>
    <w:rsid w:val="00897F10"/>
    <w:rsid w:val="008A6902"/>
    <w:rsid w:val="008B5543"/>
    <w:rsid w:val="008D1D79"/>
    <w:rsid w:val="008D23D9"/>
    <w:rsid w:val="008E490A"/>
    <w:rsid w:val="008F5387"/>
    <w:rsid w:val="00912635"/>
    <w:rsid w:val="00921F7A"/>
    <w:rsid w:val="00935539"/>
    <w:rsid w:val="00965C42"/>
    <w:rsid w:val="00976BC1"/>
    <w:rsid w:val="00995DF0"/>
    <w:rsid w:val="009A0EC9"/>
    <w:rsid w:val="009D5CBE"/>
    <w:rsid w:val="009F05DF"/>
    <w:rsid w:val="00A33B82"/>
    <w:rsid w:val="00A42D0E"/>
    <w:rsid w:val="00A52BB1"/>
    <w:rsid w:val="00A851B5"/>
    <w:rsid w:val="00AB0949"/>
    <w:rsid w:val="00AB3443"/>
    <w:rsid w:val="00AD1FBF"/>
    <w:rsid w:val="00AE3402"/>
    <w:rsid w:val="00AF0052"/>
    <w:rsid w:val="00AF537E"/>
    <w:rsid w:val="00B12138"/>
    <w:rsid w:val="00B34456"/>
    <w:rsid w:val="00B354EE"/>
    <w:rsid w:val="00B4657D"/>
    <w:rsid w:val="00B605D6"/>
    <w:rsid w:val="00BB04BF"/>
    <w:rsid w:val="00BD17D0"/>
    <w:rsid w:val="00BF3D2B"/>
    <w:rsid w:val="00C07EF6"/>
    <w:rsid w:val="00C2390E"/>
    <w:rsid w:val="00C4158A"/>
    <w:rsid w:val="00C44691"/>
    <w:rsid w:val="00C619A0"/>
    <w:rsid w:val="00C81D7A"/>
    <w:rsid w:val="00C84396"/>
    <w:rsid w:val="00C90E85"/>
    <w:rsid w:val="00C92ABF"/>
    <w:rsid w:val="00CA0166"/>
    <w:rsid w:val="00CA3952"/>
    <w:rsid w:val="00CA403A"/>
    <w:rsid w:val="00CD6533"/>
    <w:rsid w:val="00D16117"/>
    <w:rsid w:val="00D17145"/>
    <w:rsid w:val="00D62FB9"/>
    <w:rsid w:val="00D83387"/>
    <w:rsid w:val="00D867CE"/>
    <w:rsid w:val="00D93510"/>
    <w:rsid w:val="00DA1E52"/>
    <w:rsid w:val="00DB3074"/>
    <w:rsid w:val="00DB6DDE"/>
    <w:rsid w:val="00DE2350"/>
    <w:rsid w:val="00E15B5A"/>
    <w:rsid w:val="00E31F79"/>
    <w:rsid w:val="00E50B53"/>
    <w:rsid w:val="00E50E9E"/>
    <w:rsid w:val="00E704CD"/>
    <w:rsid w:val="00E80545"/>
    <w:rsid w:val="00E855D9"/>
    <w:rsid w:val="00E87E50"/>
    <w:rsid w:val="00EE2802"/>
    <w:rsid w:val="00F06A4E"/>
    <w:rsid w:val="00F417AC"/>
    <w:rsid w:val="00F43757"/>
    <w:rsid w:val="00F60A51"/>
    <w:rsid w:val="00F62181"/>
    <w:rsid w:val="00F6641A"/>
    <w:rsid w:val="00F67AA3"/>
    <w:rsid w:val="00F82B29"/>
    <w:rsid w:val="00FA7016"/>
    <w:rsid w:val="00FD6C31"/>
    <w:rsid w:val="00FF03C4"/>
    <w:rsid w:val="03497C46"/>
    <w:rsid w:val="04D1019F"/>
    <w:rsid w:val="08123F24"/>
    <w:rsid w:val="08AB21C5"/>
    <w:rsid w:val="09031F91"/>
    <w:rsid w:val="09BD161D"/>
    <w:rsid w:val="0CB43991"/>
    <w:rsid w:val="0E68065E"/>
    <w:rsid w:val="0FE97C61"/>
    <w:rsid w:val="104045CF"/>
    <w:rsid w:val="114D55E0"/>
    <w:rsid w:val="12CC7C48"/>
    <w:rsid w:val="15C71DC4"/>
    <w:rsid w:val="15E80F18"/>
    <w:rsid w:val="16DC7FD2"/>
    <w:rsid w:val="177C6C91"/>
    <w:rsid w:val="18131959"/>
    <w:rsid w:val="18471012"/>
    <w:rsid w:val="1A370398"/>
    <w:rsid w:val="1BF031F9"/>
    <w:rsid w:val="1C073077"/>
    <w:rsid w:val="2025130A"/>
    <w:rsid w:val="21CE5730"/>
    <w:rsid w:val="22DD342C"/>
    <w:rsid w:val="23E209A6"/>
    <w:rsid w:val="271A146D"/>
    <w:rsid w:val="276B104F"/>
    <w:rsid w:val="2A344EF2"/>
    <w:rsid w:val="2AE5163D"/>
    <w:rsid w:val="2DE57733"/>
    <w:rsid w:val="2F0F2EFB"/>
    <w:rsid w:val="36FD131F"/>
    <w:rsid w:val="3B327618"/>
    <w:rsid w:val="3CB9763B"/>
    <w:rsid w:val="3D1F1952"/>
    <w:rsid w:val="416C3A2E"/>
    <w:rsid w:val="44336E18"/>
    <w:rsid w:val="47071E2A"/>
    <w:rsid w:val="4760535B"/>
    <w:rsid w:val="47872078"/>
    <w:rsid w:val="4CC8759D"/>
    <w:rsid w:val="4FA92E86"/>
    <w:rsid w:val="511801BE"/>
    <w:rsid w:val="51FD18C6"/>
    <w:rsid w:val="537B5E15"/>
    <w:rsid w:val="57423091"/>
    <w:rsid w:val="59CA4099"/>
    <w:rsid w:val="5B5D245B"/>
    <w:rsid w:val="5CF12EF3"/>
    <w:rsid w:val="5E3B0C54"/>
    <w:rsid w:val="5F6F311B"/>
    <w:rsid w:val="5F9D1C79"/>
    <w:rsid w:val="5FB94A58"/>
    <w:rsid w:val="601338E8"/>
    <w:rsid w:val="613629C3"/>
    <w:rsid w:val="61B920C6"/>
    <w:rsid w:val="644356D0"/>
    <w:rsid w:val="6B776C03"/>
    <w:rsid w:val="6BB76DDC"/>
    <w:rsid w:val="6E1837B8"/>
    <w:rsid w:val="734170A4"/>
    <w:rsid w:val="793547C6"/>
    <w:rsid w:val="7A853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黑体"/>
      <w:kern w:val="44"/>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paragraph" w:customStyle="1" w:styleId="9">
    <w:name w:val="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
    <w:name w:val="Char Char Char Char"/>
    <w:basedOn w:val="1"/>
    <w:autoRedefine/>
    <w:qFormat/>
    <w:uiPriority w:val="0"/>
  </w:style>
  <w:style w:type="character" w:customStyle="1" w:styleId="11">
    <w:name w:val="页眉 Char"/>
    <w:basedOn w:val="7"/>
    <w:link w:val="5"/>
    <w:autoRedefine/>
    <w:qFormat/>
    <w:uiPriority w:val="0"/>
    <w:rPr>
      <w:kern w:val="2"/>
      <w:sz w:val="18"/>
      <w:szCs w:val="18"/>
    </w:rPr>
  </w:style>
  <w:style w:type="character" w:customStyle="1" w:styleId="12">
    <w:name w:val="页脚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2</Pages>
  <Words>683</Words>
  <Characters>774</Characters>
  <Lines>1</Lines>
  <Paragraphs>1</Paragraphs>
  <TotalTime>9</TotalTime>
  <ScaleCrop>false</ScaleCrop>
  <LinksUpToDate>false</LinksUpToDate>
  <CharactersWithSpaces>774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2020-01-02T01:17:00Z</dcterms:created>
  <dc:creator>番茄花园</dc:creator>
  <cp:lastModifiedBy>小杭</cp:lastModifiedBy>
  <cp:lastPrinted>2023-06-08T11:37:00Z</cp:lastPrinted>
  <dcterms:modified xsi:type="dcterms:W3CDTF">2024-03-26T08:05:11Z</dcterms:modified>
  <dc:title>汕头市龙湖区2014年度第以批次城市建设用地农用地转用和土地征收实施方案征收土地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E6A3ED7F4A854E97B0AB2B929A657B2D</vt:lpwstr>
  </property>
</Properties>
</file>