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汕头市龙湖区人民政府关于调整由街道实施的区级行政职权的公告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（征求意见稿）</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贯彻落实中共中央办公厅国务院办公厅《关于推进基层整合审批服务执法力量的实施意见》、中共广东省委《关于深化乡镇街道体制改革完善基层治理体系的意见》、《关于实施“百县千镇万村高质量发展工程”促进城乡区域协调发展的决定》、中共汕头市委《关于落实〈中共广东省委关于实施“百县千镇万村高质量发展工程”促进城乡区域协调发展的决定〉的意见》、《汕头市人民政府关于调整由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街道</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实施的区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级行政职权的公告》和区委、区政府深化“放管服”改革优化营商环境的工作要求，不断提高基层政务服务事项精准度覆盖度，更好提升政府行政服务效能、便利企业和群众办事，</w:t>
      </w:r>
      <w:r>
        <w:rPr>
          <w:rFonts w:hint="eastAsia" w:ascii="Times New Roman" w:hAnsi="Times New Roman" w:eastAsia="仿宋_GB2312" w:cs="仿宋_GB2312"/>
          <w:sz w:val="32"/>
          <w:szCs w:val="32"/>
          <w:lang w:eastAsia="zh-CN"/>
        </w:rPr>
        <w:t>龙湖</w:t>
      </w:r>
      <w:r>
        <w:rPr>
          <w:rFonts w:hint="eastAsia" w:ascii="Times New Roman" w:hAnsi="Times New Roman" w:eastAsia="仿宋_GB2312" w:cs="仿宋_GB2312"/>
          <w:sz w:val="32"/>
          <w:szCs w:val="32"/>
        </w:rPr>
        <w:t>区人民政府决定调整由街道办事处实施的区级行政职权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政务服务类</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事项，具体公告如下</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eastAsia="zh-CN"/>
        </w:rPr>
        <w:t>此次涉及</w:t>
      </w:r>
      <w:r>
        <w:rPr>
          <w:rFonts w:hint="eastAsia" w:ascii="Times New Roman" w:hAnsi="Times New Roman" w:eastAsia="仿宋_GB2312" w:cs="仿宋_GB2312"/>
          <w:sz w:val="32"/>
          <w:szCs w:val="32"/>
        </w:rPr>
        <w:t>调整</w:t>
      </w:r>
      <w:r>
        <w:rPr>
          <w:rFonts w:hint="eastAsia" w:ascii="Times New Roman" w:hAnsi="Times New Roman" w:eastAsia="仿宋_GB2312" w:cs="仿宋_GB2312"/>
          <w:sz w:val="32"/>
          <w:szCs w:val="32"/>
          <w:lang w:eastAsia="zh-CN"/>
        </w:rPr>
        <w:t>的街道办事处名单（</w:t>
      </w:r>
      <w:r>
        <w:rPr>
          <w:rFonts w:hint="eastAsia" w:ascii="Times New Roman" w:hAnsi="Times New Roman" w:eastAsia="仿宋_GB2312" w:cs="仿宋_GB2312"/>
          <w:sz w:val="32"/>
          <w:szCs w:val="32"/>
        </w:rPr>
        <w:t>详见附件1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二、调整由街道实施的区级行政职权清单目录</w:t>
      </w:r>
      <w:r>
        <w:rPr>
          <w:rFonts w:hint="eastAsia" w:ascii="Times New Roman" w:hAnsi="Times New Roman" w:eastAsia="仿宋_GB2312" w:cs="仿宋_GB2312"/>
          <w:sz w:val="32"/>
          <w:szCs w:val="32"/>
          <w:lang w:val="en-US" w:eastAsia="zh-CN"/>
        </w:rPr>
        <w:t>48</w:t>
      </w:r>
      <w:r>
        <w:rPr>
          <w:rFonts w:hint="eastAsia" w:ascii="Times New Roman" w:hAnsi="Times New Roman" w:eastAsia="仿宋_GB2312" w:cs="仿宋_GB2312"/>
          <w:sz w:val="32"/>
          <w:szCs w:val="32"/>
        </w:rPr>
        <w:t>项</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详见附件2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区各相关部门应当做好与街道的衔接交接工作。对于委托实施事项，要依法签订书面委托协议，细化明确委托的具体内容、执行方式、双方权利义务、责任划分、监管措施、委托期限等。对于授权实施事项，由街道以自己的名义依法行使该职权，相关法律责任一并由街道承担。行政职权调整实施之前，区各相关部门、各街道已依法受理的事项，应继续办理直至办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三、委托或授权街道实施的区级行政职权，区各相关部门与</w:t>
      </w:r>
      <w:r>
        <w:rPr>
          <w:rFonts w:hint="eastAsia" w:ascii="Times New Roman" w:hAnsi="Times New Roman" w:eastAsia="仿宋_GB2312" w:cs="仿宋_GB2312"/>
          <w:sz w:val="32"/>
          <w:szCs w:val="32"/>
          <w:lang w:eastAsia="zh-CN"/>
        </w:rPr>
        <w:t>街道</w:t>
      </w:r>
      <w:r>
        <w:rPr>
          <w:rFonts w:hint="eastAsia" w:ascii="Times New Roman" w:hAnsi="Times New Roman" w:eastAsia="仿宋_GB2312" w:cs="仿宋_GB2312"/>
          <w:sz w:val="32"/>
          <w:szCs w:val="32"/>
        </w:rPr>
        <w:t>完成交接后，应当于10个工作日内将有关情况报</w:t>
      </w:r>
      <w:r>
        <w:rPr>
          <w:rFonts w:hint="eastAsia" w:ascii="Times New Roman" w:hAnsi="Times New Roman" w:eastAsia="仿宋_GB2312" w:cs="仿宋_GB2312"/>
          <w:sz w:val="32"/>
          <w:szCs w:val="32"/>
          <w:lang w:eastAsia="zh-CN"/>
        </w:rPr>
        <w:t>区委区政府</w:t>
      </w:r>
      <w:r>
        <w:rPr>
          <w:rFonts w:hint="eastAsia" w:ascii="Times New Roman" w:hAnsi="Times New Roman" w:eastAsia="仿宋_GB2312" w:cs="仿宋_GB2312"/>
          <w:sz w:val="32"/>
          <w:szCs w:val="32"/>
        </w:rPr>
        <w:t>、区政务服务数据管理局备案，并抄送区委编办、区司法局。区有关部门要加强对</w:t>
      </w:r>
      <w:r>
        <w:rPr>
          <w:rFonts w:hint="eastAsia" w:ascii="Times New Roman" w:hAnsi="Times New Roman" w:eastAsia="仿宋_GB2312" w:cs="仿宋_GB2312"/>
          <w:sz w:val="32"/>
          <w:szCs w:val="32"/>
          <w:lang w:eastAsia="zh-CN"/>
        </w:rPr>
        <w:t>街道</w:t>
      </w:r>
      <w:r>
        <w:rPr>
          <w:rFonts w:hint="eastAsia" w:ascii="Times New Roman" w:hAnsi="Times New Roman" w:eastAsia="仿宋_GB2312" w:cs="仿宋_GB2312"/>
          <w:sz w:val="32"/>
          <w:szCs w:val="32"/>
        </w:rPr>
        <w:t>的业务指导和培训，做好相关行政职权事项执行情况的督促检查，及时帮助解决实施工作中遇到的问题和困难。要依据数字政府建设强化数字化支撑，密切跟踪调整事项实施情况，通过日常检查、随机抽查等方式，切实加强对调整实施职权的监管，及时纠正承接机关存在的问题。要定期对实施工作开展评估，并根据评估结果向区人民政府提出调整完善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各街道办事处要高度重视，认真做好调整行政职权的承接实施工作，及时将承接的行政职权纳入权责清单管理，严格依照法定程序履行职责、规范办事行为、优化办事流程、缩短办理时限，为企业和群众办事提供高效便捷服务。要切实加强领导，健全管理机制，严格审核把关，创新和加强事中事后监管，发现问题应当及时处理，确保放得下、接得住、管得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本公告所称政务服务事项是指《广东省政务服务事项管理暂行办法》第三条第1款规定“本办法所称政务服务事项包括依申请办理的行政权力事项和公共服务事项。依申请办理的行政权力事项包括行政许可、行政确认、行政裁决、行政给付、行政奖励、行政备案及其他行政权力事项。公共服务事项包括公共教育、劳动就业、社会保险、医疗卫生、医疗保障、养老服务、社会服务、住房保障、文化体育、残疾人服务等领域依申请办理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六、本公告自发布之日起生效，《龙湖区人民政府关于将一批区级行政职权调整由街道实施的意见 》</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汕龙府〔2020〕60号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、《汕头市龙湖区人民政府关于推进街道综合行政执法工作的公告》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汕龙府〔2020〕67号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、《汕头市龙湖区人民政府关于推进工程建设领域街道综合行政执法工作的公告》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汕龙府〔2020〕89号</w:t>
      </w:r>
      <w:r>
        <w:rPr>
          <w:rFonts w:hint="eastAsia" w:ascii="Times New Roman" w:hAnsi="Times New Roman" w:eastAsia="仿宋_GB2312" w:cs="仿宋_GB2312"/>
          <w:sz w:val="32"/>
          <w:szCs w:val="32"/>
          <w:lang w:eastAsia="zh-CN"/>
        </w:rPr>
        <w:t>）、《汕头市龙湖区人民政府关于调整由街道实施的区级行政职权的公告》（汕龙府〔2022〕32号）</w:t>
      </w:r>
      <w:r>
        <w:rPr>
          <w:rFonts w:hint="eastAsia" w:ascii="Times New Roman" w:hAnsi="Times New Roman" w:eastAsia="仿宋_GB2312" w:cs="仿宋_GB2312"/>
          <w:sz w:val="32"/>
          <w:szCs w:val="32"/>
        </w:rPr>
        <w:t>同时废止。</w:t>
      </w:r>
      <w:r>
        <w:rPr>
          <w:rFonts w:hint="eastAsia" w:ascii="Times New Roman" w:hAnsi="Times New Roman" w:eastAsia="仿宋_GB2312" w:cs="仿宋_GB2312"/>
          <w:sz w:val="32"/>
          <w:szCs w:val="32"/>
          <w:highlight w:val="none"/>
        </w:rPr>
        <w:t>原公告所涉及的政务服务事项已不再纳入本公告所附目录清单，由区各主管部门</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职能归属部门</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rPr>
        <w:t>区司法局、区政务服务数据管理局作相应调整。原公告所涉及的行政检查、行政强制、行政处罚等执法类事项</w:t>
      </w:r>
      <w:r>
        <w:rPr>
          <w:rFonts w:hint="eastAsia" w:ascii="Times New Roman" w:hAnsi="Times New Roman" w:eastAsia="仿宋_GB2312" w:cs="仿宋_GB2312"/>
          <w:sz w:val="32"/>
          <w:szCs w:val="32"/>
        </w:rPr>
        <w:t>，按《汕头市人民政府关于调整由镇</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街道</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实施的区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县</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级行政职权的公告》</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汕府〔2023〕64号</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有关规</w:t>
      </w:r>
      <w:r>
        <w:rPr>
          <w:rFonts w:hint="eastAsia" w:ascii="Times New Roman" w:hAnsi="Times New Roman" w:eastAsia="仿宋_GB2312" w:cs="仿宋_GB2312"/>
          <w:sz w:val="32"/>
          <w:szCs w:val="32"/>
          <w:lang w:eastAsia="zh-CN"/>
        </w:rPr>
        <w:t>定执行。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附件：</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eastAsia="zh-CN"/>
        </w:rPr>
        <w:t>涉及</w:t>
      </w:r>
      <w:r>
        <w:rPr>
          <w:rFonts w:hint="eastAsia" w:ascii="Times New Roman" w:hAnsi="Times New Roman" w:eastAsia="仿宋_GB2312" w:cs="仿宋_GB2312"/>
          <w:sz w:val="32"/>
          <w:szCs w:val="32"/>
        </w:rPr>
        <w:t>调整</w:t>
      </w:r>
      <w:r>
        <w:rPr>
          <w:rFonts w:hint="eastAsia" w:ascii="Times New Roman" w:hAnsi="Times New Roman" w:eastAsia="仿宋_GB2312" w:cs="仿宋_GB2312"/>
          <w:sz w:val="32"/>
          <w:szCs w:val="32"/>
          <w:lang w:eastAsia="zh-CN"/>
        </w:rPr>
        <w:t>的街道办事处名单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 xml:space="preserve">      2.汕头市龙湖区人民政府调整由街道实施的区级行政职权事项目录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eastAsia="zh-CN"/>
        </w:rPr>
        <w:t>汕头市龙湖区人民政府</w:t>
      </w:r>
      <w:r>
        <w:rPr>
          <w:rFonts w:hint="eastAsia" w:ascii="Times New Roman" w:hAnsi="Times New Roman" w:eastAsia="仿宋_GB2312" w:cs="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2024年  月  日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黑体简体" w:cs="Times New Roman"/>
          <w:b w:val="0"/>
          <w:bCs w:val="0"/>
          <w:i w:val="0"/>
          <w:color w:val="auto"/>
          <w:sz w:val="32"/>
          <w:szCs w:val="32"/>
          <w:lang w:val="en" w:eastAsia="zh-CN"/>
        </w:rPr>
      </w:pPr>
      <w:r>
        <w:rPr>
          <w:rFonts w:hint="default" w:ascii="Times New Roman" w:hAnsi="Times New Roman" w:eastAsia="方正黑体简体" w:cs="Times New Roman"/>
          <w:b w:val="0"/>
          <w:bCs w:val="0"/>
          <w:i w:val="0"/>
          <w:color w:val="auto"/>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宋体" w:hAnsi="宋体" w:eastAsia="宋体" w:cs="宋体"/>
          <w:b/>
          <w:bCs/>
          <w:i w:val="0"/>
          <w:color w:val="auto"/>
          <w:sz w:val="36"/>
          <w:szCs w:val="36"/>
          <w:lang w:eastAsia="zh-CN"/>
        </w:rPr>
      </w:pPr>
      <w:r>
        <w:rPr>
          <w:rFonts w:hint="eastAsia" w:ascii="方正小标宋简体" w:hAnsi="方正小标宋简体" w:eastAsia="方正小标宋简体" w:cs="方正小标宋简体"/>
          <w:b w:val="0"/>
          <w:bCs w:val="0"/>
          <w:i w:val="0"/>
          <w:color w:val="auto"/>
          <w:sz w:val="44"/>
          <w:szCs w:val="44"/>
          <w:lang w:eastAsia="zh-CN"/>
        </w:rPr>
        <w:t>涉及调整的街道办事处名单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金霞街道办事处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珠池街道办事处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新津街道办事处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龙祥街道办事处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鸥汀街道办事处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外砂街道办事处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新溪街道办事处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龙华街道办事处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新海街道办事处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i w:val="0"/>
          <w:color w:val="auto"/>
          <w:sz w:val="32"/>
          <w:szCs w:val="32"/>
          <w:lang w:val="en-US" w:eastAsia="zh-CN"/>
        </w:rPr>
      </w:pPr>
      <w:r>
        <w:rPr>
          <w:rFonts w:hint="eastAsia" w:ascii="仿宋_GB2312" w:hAnsi="仿宋_GB2312" w:eastAsia="仿宋_GB2312" w:cs="仿宋_GB2312"/>
          <w:b w:val="0"/>
          <w:i w:val="0"/>
          <w:color w:val="auto"/>
          <w:sz w:val="32"/>
          <w:szCs w:val="32"/>
          <w:lang w:val="en-US" w:eastAsia="zh-CN"/>
        </w:rPr>
        <w:t>龙腾街道办事处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黑体简体" w:cs="Times New Roman"/>
          <w:b w:val="0"/>
          <w:bCs w:val="0"/>
          <w:i w:val="0"/>
          <w:color w:val="auto"/>
          <w:sz w:val="32"/>
          <w:szCs w:val="32"/>
          <w:lang w:val="en" w:eastAsia="zh-CN"/>
        </w:rPr>
      </w:pPr>
      <w:r>
        <w:rPr>
          <w:rFonts w:hint="default" w:ascii="Times New Roman" w:hAnsi="Times New Roman" w:eastAsia="方正黑体简体" w:cs="Times New Roman"/>
          <w:b w:val="0"/>
          <w:bCs w:val="0"/>
          <w:i w:val="0"/>
          <w:color w:val="auto"/>
          <w:sz w:val="32"/>
          <w:szCs w:val="32"/>
          <w:lang w:val="en-US" w:eastAsia="zh-CN"/>
        </w:rPr>
        <w:t>附件</w:t>
      </w:r>
      <w:r>
        <w:rPr>
          <w:rFonts w:hint="eastAsia" w:ascii="Times New Roman" w:hAnsi="Times New Roman" w:eastAsia="方正黑体简体" w:cs="Times New Roman"/>
          <w:b w:val="0"/>
          <w:bCs w:val="0"/>
          <w:i w:val="0"/>
          <w:color w:val="auto"/>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val="0"/>
          <w:i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汕头市龙湖区人民政府调整由街道实施的区级行政职权事项目录</w:t>
      </w:r>
    </w:p>
    <w:p>
      <w:pPr>
        <w:rPr>
          <w:rFonts w:hint="default" w:ascii="Times New Roman" w:hAnsi="Times New Roman" w:eastAsiaTheme="minorEastAsia" w:cstheme="minorBidi"/>
          <w:sz w:val="21"/>
          <w:szCs w:val="24"/>
          <w:lang w:eastAsia="zh-CN"/>
        </w:rPr>
      </w:pPr>
    </w:p>
    <w:tbl>
      <w:tblPr>
        <w:tblStyle w:val="6"/>
        <w:tblW w:w="9045" w:type="dxa"/>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548"/>
        <w:gridCol w:w="1681"/>
        <w:gridCol w:w="1748"/>
        <w:gridCol w:w="1263"/>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黑体" w:cs="黑体"/>
                <w:sz w:val="24"/>
                <w:szCs w:val="24"/>
                <w:vertAlign w:val="baseline"/>
                <w:lang w:eastAsia="zh-CN"/>
              </w:rPr>
            </w:pPr>
            <w:r>
              <w:rPr>
                <w:rFonts w:hint="eastAsia" w:ascii="Times New Roman" w:hAnsi="Times New Roman" w:eastAsia="黑体" w:cs="黑体"/>
                <w:sz w:val="24"/>
                <w:szCs w:val="24"/>
                <w:vertAlign w:val="baseline"/>
                <w:lang w:eastAsia="zh-CN"/>
              </w:rPr>
              <w:t>序号</w:t>
            </w:r>
          </w:p>
        </w:tc>
        <w:tc>
          <w:tcPr>
            <w:tcW w:w="2548" w:type="dxa"/>
            <w:vAlign w:val="center"/>
          </w:tcPr>
          <w:p>
            <w:pPr>
              <w:jc w:val="center"/>
              <w:rPr>
                <w:rFonts w:hint="eastAsia" w:ascii="Times New Roman" w:hAnsi="Times New Roman" w:eastAsia="黑体" w:cs="黑体"/>
                <w:sz w:val="24"/>
                <w:szCs w:val="24"/>
                <w:vertAlign w:val="baseline"/>
                <w:lang w:eastAsia="zh-CN"/>
              </w:rPr>
            </w:pPr>
            <w:r>
              <w:rPr>
                <w:rFonts w:hint="eastAsia" w:ascii="Times New Roman" w:hAnsi="Times New Roman" w:eastAsia="黑体" w:cs="黑体"/>
                <w:sz w:val="24"/>
                <w:szCs w:val="24"/>
                <w:vertAlign w:val="baseline"/>
                <w:lang w:eastAsia="zh-CN"/>
              </w:rPr>
              <w:t>事项名称</w:t>
            </w:r>
          </w:p>
        </w:tc>
        <w:tc>
          <w:tcPr>
            <w:tcW w:w="1681" w:type="dxa"/>
            <w:vAlign w:val="center"/>
          </w:tcPr>
          <w:p>
            <w:pPr>
              <w:jc w:val="center"/>
              <w:rPr>
                <w:rFonts w:hint="eastAsia" w:ascii="Times New Roman" w:hAnsi="Times New Roman" w:eastAsia="黑体" w:cs="黑体"/>
                <w:sz w:val="24"/>
                <w:szCs w:val="24"/>
                <w:vertAlign w:val="baseline"/>
                <w:lang w:eastAsia="zh-CN"/>
              </w:rPr>
            </w:pPr>
            <w:r>
              <w:rPr>
                <w:rFonts w:hint="eastAsia" w:ascii="Times New Roman" w:hAnsi="Times New Roman" w:eastAsia="黑体" w:cs="黑体"/>
                <w:sz w:val="24"/>
                <w:szCs w:val="24"/>
                <w:vertAlign w:val="baseline"/>
                <w:lang w:eastAsia="zh-CN"/>
              </w:rPr>
              <w:t>事项类别</w:t>
            </w:r>
          </w:p>
        </w:tc>
        <w:tc>
          <w:tcPr>
            <w:tcW w:w="1748" w:type="dxa"/>
            <w:vAlign w:val="center"/>
          </w:tcPr>
          <w:p>
            <w:pPr>
              <w:jc w:val="center"/>
              <w:rPr>
                <w:rFonts w:hint="eastAsia" w:ascii="Times New Roman" w:hAnsi="Times New Roman" w:eastAsia="黑体" w:cs="黑体"/>
                <w:sz w:val="24"/>
                <w:szCs w:val="24"/>
                <w:vertAlign w:val="baseline"/>
                <w:lang w:eastAsia="zh-CN"/>
              </w:rPr>
            </w:pPr>
            <w:r>
              <w:rPr>
                <w:rFonts w:hint="eastAsia" w:ascii="Times New Roman" w:hAnsi="Times New Roman" w:eastAsia="黑体" w:cs="黑体"/>
                <w:sz w:val="24"/>
                <w:szCs w:val="24"/>
                <w:vertAlign w:val="baseline"/>
                <w:lang w:eastAsia="zh-CN"/>
              </w:rPr>
              <w:t>区主管部门</w:t>
            </w:r>
          </w:p>
        </w:tc>
        <w:tc>
          <w:tcPr>
            <w:tcW w:w="1263" w:type="dxa"/>
            <w:vAlign w:val="center"/>
          </w:tcPr>
          <w:p>
            <w:pPr>
              <w:jc w:val="center"/>
              <w:rPr>
                <w:rFonts w:hint="eastAsia" w:ascii="Times New Roman" w:hAnsi="Times New Roman" w:eastAsia="黑体" w:cs="黑体"/>
                <w:sz w:val="24"/>
                <w:szCs w:val="24"/>
                <w:vertAlign w:val="baseline"/>
                <w:lang w:eastAsia="zh-CN"/>
              </w:rPr>
            </w:pPr>
            <w:r>
              <w:rPr>
                <w:rFonts w:hint="eastAsia" w:ascii="Times New Roman" w:hAnsi="Times New Roman" w:eastAsia="黑体" w:cs="黑体"/>
                <w:sz w:val="24"/>
                <w:szCs w:val="24"/>
                <w:vertAlign w:val="baseline"/>
                <w:lang w:eastAsia="zh-CN"/>
              </w:rPr>
              <w:t>下放方式</w:t>
            </w:r>
          </w:p>
        </w:tc>
        <w:tc>
          <w:tcPr>
            <w:tcW w:w="1105" w:type="dxa"/>
            <w:vAlign w:val="center"/>
          </w:tcPr>
          <w:p>
            <w:pPr>
              <w:jc w:val="center"/>
              <w:rPr>
                <w:rFonts w:hint="eastAsia" w:ascii="Times New Roman" w:hAnsi="Times New Roman" w:eastAsia="黑体" w:cs="黑体"/>
                <w:sz w:val="24"/>
                <w:szCs w:val="24"/>
                <w:vertAlign w:val="baseline"/>
                <w:lang w:eastAsia="zh-CN"/>
              </w:rPr>
            </w:pPr>
            <w:r>
              <w:rPr>
                <w:rFonts w:hint="eastAsia" w:ascii="Times New Roman" w:hAnsi="Times New Roman" w:eastAsia="黑体" w:cs="黑体"/>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1</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生育登记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区卫生健康局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授权</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2</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城镇非职工居民独生子女保健费发放</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行政给付</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区卫生健康局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3</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独生子女死亡、伤残后未再生育夫妻的扶助金发放</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行政给付</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区卫生健康局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4</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计划生育手术并发症人员特别扶助</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行政给付</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区卫生健康局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5</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城镇独生子女父母计划生育奖励</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行政奖励</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区卫生健康局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6</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农村部分计划生育家庭奖励</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行政奖励</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区卫生健康局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0"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7</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企业投资项目备案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区发展改革局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8</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前期物业管理招标前备案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9</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前期物业管理中标结果备案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10</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物业服务合同备案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11</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物业管理区域备案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12</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物业承接查验备案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13</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以协议方式选聘物业管理企业的审批</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公共服务</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14</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广东省业主委员会备案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15</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前期物业服务合同备案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16</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换届业主委员会备案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17</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首届业主委员会备案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18</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房屋转租登记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19</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房屋租赁变更登记备案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20</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房屋租赁登记备案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21</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房屋租赁注销登记备案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区住房城乡建设局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22</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《就业创业证》查询、核验</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公共服务</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区人力资源和社会保障局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23</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《就业创业证》申领</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公共服务</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区人力资源和社会保障局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24</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失业登记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公共服务</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区人力资源和社会保障局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25</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城乡居民养老保险参保登记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公共服务</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市社会保险基金管理局龙湖分局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26</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城乡居民养老保险注销登记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公共服务</w:t>
            </w:r>
          </w:p>
        </w:tc>
        <w:tc>
          <w:tcPr>
            <w:tcW w:w="1748"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市社会保险基金管理局龙湖分局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27</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个体工商户变更登记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sz w:val="24"/>
                <w:szCs w:val="24"/>
                <w:vertAlign w:val="baseline"/>
                <w:lang w:eastAsia="zh-CN"/>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lang w:eastAsia="zh-CN"/>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28</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个体工商户设立登记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29</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个体工商户注销登记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30</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食品经营许可证变更</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31</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食品经营许可证核发（除实施申请人承诺制的小餐饮之外的食品经营者）</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32</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食品经营许可证核发（实施申请人承诺制的小餐饮）</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33</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食品经营许可证延续</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34</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食品经营许可证注销</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35</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个体工商户的备案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36</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食品经营许可证补发</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37</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i w:val="0"/>
                <w:iCs w:val="0"/>
                <w:color w:val="000000"/>
                <w:kern w:val="0"/>
                <w:sz w:val="24"/>
                <w:szCs w:val="24"/>
                <w:u w:val="none"/>
                <w:lang w:val="en-US" w:eastAsia="zh-CN" w:bidi="ar"/>
              </w:rPr>
              <w:t>农村集体聚餐登记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公共服务</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38</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补、换发证照</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公共服务</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39</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增、减发证照</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公共服务</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40</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个人独资企业变更登记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41</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个人独资企业分支机构变更登记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42</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个人独资企业分支机构设立登记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43</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个人独资企业分支机构注销登记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44</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个人独资企业设立登记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45</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个人独资企业注销登记</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行政许可</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kern w:val="2"/>
                <w:sz w:val="24"/>
                <w:szCs w:val="24"/>
                <w:vertAlign w:val="baseline"/>
                <w:lang w:val="en-US" w:eastAsia="zh-CN" w:bidi="ar-SA"/>
              </w:rPr>
              <w:t>46</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个人独资企业备案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vAlign w:val="center"/>
          </w:tcPr>
          <w:p>
            <w:pPr>
              <w:jc w:val="center"/>
              <w:rPr>
                <w:rFonts w:hint="default"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val="en-US" w:eastAsia="zh-CN"/>
              </w:rPr>
              <w:t>47</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个人独资企业分支机构备案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龙腾街道除外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00" w:type="dxa"/>
            <w:vAlign w:val="center"/>
          </w:tcPr>
          <w:p>
            <w:pPr>
              <w:jc w:val="center"/>
              <w:rPr>
                <w:rFonts w:hint="default" w:ascii="Times New Roman" w:hAnsi="Times New Roman" w:eastAsia="仿宋_GB2312" w:cs="仿宋_GB2312"/>
                <w:sz w:val="24"/>
                <w:szCs w:val="24"/>
                <w:vertAlign w:val="baseline"/>
                <w:lang w:val="en-US" w:eastAsia="zh-CN"/>
              </w:rPr>
            </w:pPr>
            <w:r>
              <w:rPr>
                <w:rFonts w:hint="eastAsia" w:ascii="Times New Roman" w:hAnsi="Times New Roman" w:eastAsia="仿宋_GB2312" w:cs="仿宋_GB2312"/>
                <w:sz w:val="24"/>
                <w:szCs w:val="24"/>
                <w:vertAlign w:val="baseline"/>
                <w:lang w:val="en-US" w:eastAsia="zh-CN"/>
              </w:rPr>
              <w:t>48</w:t>
            </w:r>
          </w:p>
        </w:tc>
        <w:tc>
          <w:tcPr>
            <w:tcW w:w="2548" w:type="dxa"/>
            <w:vAlign w:val="center"/>
          </w:tcPr>
          <w:p>
            <w:pPr>
              <w:keepNext w:val="0"/>
              <w:keepLines w:val="0"/>
              <w:widowControl/>
              <w:suppressLineNumbers w:val="0"/>
              <w:jc w:val="both"/>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歇业备案</w:t>
            </w:r>
          </w:p>
        </w:tc>
        <w:tc>
          <w:tcPr>
            <w:tcW w:w="1681" w:type="dxa"/>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0"/>
                <w:sz w:val="24"/>
                <w:szCs w:val="24"/>
                <w:u w:val="none"/>
                <w:lang w:val="en-US" w:eastAsia="zh-CN" w:bidi="ar"/>
              </w:rPr>
            </w:pPr>
            <w:r>
              <w:rPr>
                <w:rFonts w:hint="eastAsia" w:ascii="Times New Roman" w:hAnsi="Times New Roman" w:eastAsia="仿宋_GB2312" w:cs="仿宋_GB2312"/>
                <w:i w:val="0"/>
                <w:iCs w:val="0"/>
                <w:color w:val="000000"/>
                <w:kern w:val="0"/>
                <w:sz w:val="24"/>
                <w:szCs w:val="24"/>
                <w:u w:val="none"/>
                <w:lang w:val="en-US" w:eastAsia="zh-CN" w:bidi="ar"/>
              </w:rPr>
              <w:t>其他行政权力</w:t>
            </w:r>
          </w:p>
        </w:tc>
        <w:tc>
          <w:tcPr>
            <w:tcW w:w="1748" w:type="dxa"/>
            <w:vAlign w:val="center"/>
          </w:tcPr>
          <w:p>
            <w:pPr>
              <w:jc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sz w:val="24"/>
                <w:szCs w:val="24"/>
                <w:vertAlign w:val="baseline"/>
                <w:lang w:eastAsia="zh-CN"/>
              </w:rPr>
              <w:t>区市场监管局</w:t>
            </w:r>
          </w:p>
        </w:tc>
        <w:tc>
          <w:tcPr>
            <w:tcW w:w="1263" w:type="dxa"/>
            <w:vAlign w:val="center"/>
          </w:tcPr>
          <w:p>
            <w:pPr>
              <w:keepNext w:val="0"/>
              <w:keepLines w:val="0"/>
              <w:widowControl/>
              <w:suppressLineNumbers w:val="0"/>
              <w:jc w:val="center"/>
              <w:textAlignment w:val="center"/>
              <w:rPr>
                <w:rFonts w:hint="eastAsia" w:ascii="Times New Roman" w:hAnsi="Times New Roman" w:eastAsia="仿宋_GB2312" w:cs="仿宋_GB2312"/>
                <w:kern w:val="2"/>
                <w:sz w:val="24"/>
                <w:szCs w:val="24"/>
                <w:vertAlign w:val="baseline"/>
                <w:lang w:val="en-US" w:eastAsia="zh-CN" w:bidi="ar-SA"/>
              </w:rPr>
            </w:pPr>
            <w:r>
              <w:rPr>
                <w:rFonts w:hint="eastAsia" w:ascii="Times New Roman" w:hAnsi="Times New Roman" w:eastAsia="仿宋_GB2312" w:cs="仿宋_GB2312"/>
                <w:i w:val="0"/>
                <w:iCs w:val="0"/>
                <w:color w:val="000000"/>
                <w:kern w:val="0"/>
                <w:sz w:val="24"/>
                <w:szCs w:val="24"/>
                <w:u w:val="none"/>
                <w:lang w:val="en-US" w:eastAsia="zh-CN" w:bidi="ar"/>
              </w:rPr>
              <w:t>委托</w:t>
            </w:r>
          </w:p>
        </w:tc>
        <w:tc>
          <w:tcPr>
            <w:tcW w:w="1105" w:type="dxa"/>
            <w:vAlign w:val="center"/>
          </w:tcPr>
          <w:p>
            <w:pPr>
              <w:jc w:val="both"/>
              <w:rPr>
                <w:rFonts w:hint="eastAsia" w:ascii="Times New Roman" w:hAnsi="Times New Roman" w:eastAsia="仿宋_GB2312" w:cs="仿宋_GB2312"/>
                <w:sz w:val="24"/>
                <w:szCs w:val="24"/>
                <w:vertAlign w:val="baseline"/>
              </w:rPr>
            </w:pPr>
            <w:r>
              <w:rPr>
                <w:rFonts w:hint="eastAsia" w:ascii="Times New Roman" w:hAnsi="Times New Roman" w:eastAsia="仿宋_GB2312" w:cs="仿宋_GB2312"/>
                <w:sz w:val="24"/>
                <w:szCs w:val="24"/>
                <w:vertAlign w:val="baseline"/>
                <w:lang w:eastAsia="zh-CN"/>
              </w:rPr>
              <w:t>龙腾街道除外</w:t>
            </w:r>
          </w:p>
        </w:tc>
      </w:tr>
    </w:tbl>
    <w:p>
      <w:pPr>
        <w:rPr>
          <w:rFonts w:hint="eastAsia" w:ascii="Times New Roman" w:hAnsi="Times New Roman" w:eastAsia="仿宋_GB2312" w:cs="仿宋_GB2312"/>
          <w:sz w:val="32"/>
          <w:szCs w:val="32"/>
        </w:rPr>
      </w:pPr>
      <w:bookmarkStart w:id="0" w:name="_GoBack"/>
      <w:bookmarkEnd w:id="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OTE2YjRlYWI2ZTc4ZjljNTM3MWJjZjNkOTc1M2UifQ=="/>
  </w:docVars>
  <w:rsids>
    <w:rsidRoot w:val="241E6270"/>
    <w:rsid w:val="0010250C"/>
    <w:rsid w:val="061D7998"/>
    <w:rsid w:val="16055042"/>
    <w:rsid w:val="16810BF3"/>
    <w:rsid w:val="1B5D374F"/>
    <w:rsid w:val="21FB5631"/>
    <w:rsid w:val="241E6270"/>
    <w:rsid w:val="2F151F07"/>
    <w:rsid w:val="50302AA9"/>
    <w:rsid w:val="57A16F27"/>
    <w:rsid w:val="57BB500C"/>
    <w:rsid w:val="5F9D2516"/>
    <w:rsid w:val="6726281A"/>
    <w:rsid w:val="701C751A"/>
    <w:rsid w:val="79610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eastAsia" w:ascii="宋体" w:hAnsi="宋体" w:eastAsia="宋体" w:cs="宋体"/>
      <w:color w:val="000000"/>
      <w:sz w:val="28"/>
      <w:szCs w:val="28"/>
      <w:u w:val="none"/>
    </w:rPr>
  </w:style>
  <w:style w:type="character" w:customStyle="1" w:styleId="9">
    <w:name w:val="font21"/>
    <w:basedOn w:val="7"/>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3008</Words>
  <Characters>3071</Characters>
  <Lines>0</Lines>
  <Paragraphs>0</Paragraphs>
  <TotalTime>0</TotalTime>
  <ScaleCrop>false</ScaleCrop>
  <LinksUpToDate>false</LinksUpToDate>
  <CharactersWithSpaces>3090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2024-05-22T08:52:00Z</dcterms:created>
  <dc:creator>德</dc:creator>
  <cp:lastModifiedBy>Cervi</cp:lastModifiedBy>
  <dcterms:modified xsi:type="dcterms:W3CDTF">2024-06-06T08:36:44Z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F625A7E7957A4FC191A1A6D0DD3C0BFF_13</vt:lpwstr>
  </property>
</Properties>
</file>