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CEC687"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 w14:paraId="73559B09">
      <w:pPr>
        <w:pStyle w:val="19"/>
        <w:jc w:val="center"/>
        <w:rPr>
          <w:rFonts w:ascii="方正小标宋简体" w:hAnsi="宋体" w:eastAsia="方正小标宋简体"/>
          <w:color w:val="000000"/>
          <w:sz w:val="44"/>
          <w:szCs w:val="40"/>
        </w:rPr>
      </w:pPr>
      <w:r>
        <w:rPr>
          <w:rFonts w:hint="eastAsia" w:ascii="方正小标宋简体" w:hAnsi="宋体" w:eastAsia="方正小标宋简体"/>
          <w:color w:val="000000"/>
          <w:sz w:val="44"/>
          <w:szCs w:val="40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0"/>
        </w:rPr>
        <w:t>年龙湖区国民经济和社会发展统计公报</w:t>
      </w:r>
    </w:p>
    <w:p w14:paraId="4A6433CC">
      <w:pPr>
        <w:pStyle w:val="19"/>
        <w:jc w:val="center"/>
        <w:rPr>
          <w:rFonts w:ascii="方正楷体简体" w:hAnsi="楷体" w:eastAsia="方正楷体简体"/>
          <w:color w:val="000000"/>
          <w:sz w:val="32"/>
          <w:szCs w:val="32"/>
        </w:rPr>
      </w:pPr>
    </w:p>
    <w:p w14:paraId="5E47B698">
      <w:pPr>
        <w:pStyle w:val="19"/>
        <w:jc w:val="center"/>
        <w:rPr>
          <w:rFonts w:hint="eastAsia" w:ascii="方正楷体简体" w:hAnsi="楷体" w:eastAsia="方正楷体简体" w:cs="楷体"/>
          <w:color w:val="000000"/>
          <w:sz w:val="32"/>
          <w:szCs w:val="32"/>
        </w:rPr>
      </w:pPr>
      <w:r>
        <w:rPr>
          <w:rFonts w:hint="eastAsia" w:ascii="方正楷体简体" w:hAnsi="楷体" w:eastAsia="方正楷体简体" w:cs="楷体"/>
          <w:color w:val="000000"/>
          <w:sz w:val="32"/>
          <w:szCs w:val="32"/>
        </w:rPr>
        <w:t>龙湖区统计局</w:t>
      </w:r>
    </w:p>
    <w:p w14:paraId="46153959">
      <w:pPr>
        <w:pStyle w:val="19"/>
        <w:jc w:val="center"/>
        <w:rPr>
          <w:rFonts w:hint="eastAsia" w:ascii="方正楷体简体" w:hAnsi="楷体" w:eastAsia="方正楷体简体" w:cs="楷体"/>
          <w:color w:val="000000"/>
          <w:sz w:val="32"/>
          <w:szCs w:val="32"/>
          <w:lang w:eastAsia="zh-CN"/>
        </w:rPr>
      </w:pPr>
      <w:r>
        <w:rPr>
          <w:rFonts w:hint="eastAsia" w:ascii="方正楷体简体" w:hAnsi="楷体" w:eastAsia="方正楷体简体" w:cs="楷体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楷体简体" w:hAnsi="楷体" w:eastAsia="方正楷体简体" w:cs="楷体"/>
          <w:color w:val="000000"/>
          <w:sz w:val="32"/>
          <w:szCs w:val="32"/>
          <w:lang w:val="en-US" w:eastAsia="zh-CN"/>
        </w:rPr>
        <w:t>月）</w:t>
      </w:r>
    </w:p>
    <w:p w14:paraId="0872BE2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 w14:paraId="27318330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  <w:t>一、地区生产总值</w:t>
      </w:r>
    </w:p>
    <w:p w14:paraId="196B60C4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2812564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根据汕头市地区生产总值统一核算结果，2024年，我区地区生产总值670.06亿元，按不变价格计算，同比增长0.1%。其中，第一产业增加值8.73亿元，同比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0.3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；第二产业增加值167.78亿元，同比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13.5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；第三产业增加值493.54亿元，同比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5.8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。三次产业结构比重为1.3∶25.0∶73.7。人均地区生产总值102596元。</w:t>
      </w:r>
    </w:p>
    <w:p w14:paraId="020A5D7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p w14:paraId="539B5F1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表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年全区地区生产总值情况</w:t>
      </w:r>
    </w:p>
    <w:p w14:paraId="2173ECD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12"/>
        <w:tblW w:w="870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3"/>
        <w:gridCol w:w="2903"/>
      </w:tblGrid>
      <w:tr w14:paraId="0E0CB1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2" w:type="dxa"/>
            <w:tcBorders>
              <w:bottom w:val="single" w:color="auto" w:sz="4" w:space="0"/>
            </w:tcBorders>
            <w:vAlign w:val="top"/>
          </w:tcPr>
          <w:p w14:paraId="6E55B93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指标</w:t>
            </w:r>
          </w:p>
        </w:tc>
        <w:tc>
          <w:tcPr>
            <w:tcW w:w="2903" w:type="dxa"/>
            <w:tcBorders>
              <w:bottom w:val="single" w:color="auto" w:sz="4" w:space="0"/>
            </w:tcBorders>
            <w:vAlign w:val="top"/>
          </w:tcPr>
          <w:p w14:paraId="5CF32C5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全年完成（亿元）</w:t>
            </w:r>
          </w:p>
        </w:tc>
        <w:tc>
          <w:tcPr>
            <w:tcW w:w="2903" w:type="dxa"/>
            <w:tcBorders>
              <w:bottom w:val="single" w:color="auto" w:sz="4" w:space="0"/>
            </w:tcBorders>
            <w:vAlign w:val="top"/>
          </w:tcPr>
          <w:p w14:paraId="10172EA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全年增速（%）</w:t>
            </w:r>
          </w:p>
        </w:tc>
      </w:tr>
      <w:tr w14:paraId="109CB8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tcBorders>
              <w:top w:val="single" w:color="auto" w:sz="4" w:space="0"/>
            </w:tcBorders>
            <w:vAlign w:val="center"/>
          </w:tcPr>
          <w:p w14:paraId="5F79C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>地区生产总值</w:t>
            </w:r>
          </w:p>
        </w:tc>
        <w:tc>
          <w:tcPr>
            <w:tcW w:w="2903" w:type="dxa"/>
            <w:tcBorders>
              <w:top w:val="single" w:color="auto" w:sz="4" w:space="0"/>
            </w:tcBorders>
            <w:vAlign w:val="center"/>
          </w:tcPr>
          <w:p w14:paraId="2A67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670.06</w:t>
            </w:r>
          </w:p>
        </w:tc>
        <w:tc>
          <w:tcPr>
            <w:tcW w:w="2903" w:type="dxa"/>
            <w:tcBorders>
              <w:top w:val="single" w:color="auto" w:sz="4" w:space="0"/>
            </w:tcBorders>
            <w:vAlign w:val="center"/>
          </w:tcPr>
          <w:p w14:paraId="5CD6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</w:t>
            </w:r>
          </w:p>
        </w:tc>
      </w:tr>
      <w:tr w14:paraId="6D4E64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1175A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第一产业</w:t>
            </w:r>
          </w:p>
        </w:tc>
        <w:tc>
          <w:tcPr>
            <w:tcW w:w="2903" w:type="dxa"/>
            <w:vAlign w:val="center"/>
          </w:tcPr>
          <w:p w14:paraId="27DB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8.73</w:t>
            </w:r>
          </w:p>
        </w:tc>
        <w:tc>
          <w:tcPr>
            <w:tcW w:w="2903" w:type="dxa"/>
            <w:vAlign w:val="center"/>
          </w:tcPr>
          <w:p w14:paraId="09C1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-0.3 </w:t>
            </w:r>
          </w:p>
        </w:tc>
      </w:tr>
      <w:tr w14:paraId="47CA29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2CB23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第二产业</w:t>
            </w:r>
          </w:p>
        </w:tc>
        <w:tc>
          <w:tcPr>
            <w:tcW w:w="2903" w:type="dxa"/>
            <w:vAlign w:val="center"/>
          </w:tcPr>
          <w:p w14:paraId="34B8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167.78</w:t>
            </w:r>
          </w:p>
        </w:tc>
        <w:tc>
          <w:tcPr>
            <w:tcW w:w="2903" w:type="dxa"/>
            <w:vAlign w:val="center"/>
          </w:tcPr>
          <w:p w14:paraId="1528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-13.5 </w:t>
            </w:r>
          </w:p>
        </w:tc>
      </w:tr>
      <w:tr w14:paraId="1ECF42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51192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第三产业</w:t>
            </w:r>
          </w:p>
        </w:tc>
        <w:tc>
          <w:tcPr>
            <w:tcW w:w="2903" w:type="dxa"/>
            <w:vAlign w:val="center"/>
          </w:tcPr>
          <w:p w14:paraId="68B0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493.54</w:t>
            </w:r>
          </w:p>
        </w:tc>
        <w:tc>
          <w:tcPr>
            <w:tcW w:w="2903" w:type="dxa"/>
            <w:vAlign w:val="center"/>
          </w:tcPr>
          <w:p w14:paraId="27A3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5.8 </w:t>
            </w:r>
          </w:p>
        </w:tc>
      </w:tr>
      <w:tr w14:paraId="32CDD4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3EDE3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>按主要行业分：</w:t>
            </w:r>
          </w:p>
        </w:tc>
        <w:tc>
          <w:tcPr>
            <w:tcW w:w="2903" w:type="dxa"/>
            <w:vAlign w:val="center"/>
          </w:tcPr>
          <w:p w14:paraId="310AA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</w:p>
        </w:tc>
        <w:tc>
          <w:tcPr>
            <w:tcW w:w="2903" w:type="dxa"/>
            <w:vAlign w:val="center"/>
          </w:tcPr>
          <w:p w14:paraId="0AB99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</w:p>
        </w:tc>
      </w:tr>
      <w:tr w14:paraId="0620ED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6CDDD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农林牧渔业</w:t>
            </w:r>
          </w:p>
        </w:tc>
        <w:tc>
          <w:tcPr>
            <w:tcW w:w="2903" w:type="dxa"/>
            <w:vAlign w:val="center"/>
          </w:tcPr>
          <w:p w14:paraId="5AF4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10.24 </w:t>
            </w:r>
          </w:p>
        </w:tc>
        <w:tc>
          <w:tcPr>
            <w:tcW w:w="2903" w:type="dxa"/>
            <w:vAlign w:val="center"/>
          </w:tcPr>
          <w:p w14:paraId="61D1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3.4</w:t>
            </w:r>
          </w:p>
        </w:tc>
      </w:tr>
      <w:tr w14:paraId="2C7C5A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57694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工业</w:t>
            </w:r>
          </w:p>
        </w:tc>
        <w:tc>
          <w:tcPr>
            <w:tcW w:w="2903" w:type="dxa"/>
            <w:vAlign w:val="center"/>
          </w:tcPr>
          <w:p w14:paraId="14AF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116.84 </w:t>
            </w:r>
          </w:p>
        </w:tc>
        <w:tc>
          <w:tcPr>
            <w:tcW w:w="2903" w:type="dxa"/>
            <w:vAlign w:val="center"/>
          </w:tcPr>
          <w:p w14:paraId="7579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-11.6</w:t>
            </w:r>
          </w:p>
        </w:tc>
      </w:tr>
      <w:tr w14:paraId="34F912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6E53D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建筑业</w:t>
            </w:r>
          </w:p>
        </w:tc>
        <w:tc>
          <w:tcPr>
            <w:tcW w:w="2903" w:type="dxa"/>
            <w:vAlign w:val="center"/>
          </w:tcPr>
          <w:p w14:paraId="3B92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51.32 </w:t>
            </w:r>
          </w:p>
        </w:tc>
        <w:tc>
          <w:tcPr>
            <w:tcW w:w="2903" w:type="dxa"/>
            <w:vAlign w:val="center"/>
          </w:tcPr>
          <w:p w14:paraId="528A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-17.8</w:t>
            </w:r>
          </w:p>
        </w:tc>
      </w:tr>
      <w:tr w14:paraId="2AEC36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0D2F5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批发和零售业</w:t>
            </w:r>
          </w:p>
        </w:tc>
        <w:tc>
          <w:tcPr>
            <w:tcW w:w="2903" w:type="dxa"/>
            <w:vAlign w:val="center"/>
          </w:tcPr>
          <w:p w14:paraId="7613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113.18 </w:t>
            </w:r>
          </w:p>
        </w:tc>
        <w:tc>
          <w:tcPr>
            <w:tcW w:w="2903" w:type="dxa"/>
            <w:vAlign w:val="center"/>
          </w:tcPr>
          <w:p w14:paraId="6511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4.9</w:t>
            </w:r>
          </w:p>
        </w:tc>
      </w:tr>
      <w:tr w14:paraId="01497B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7589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交通运输、仓储和邮政业</w:t>
            </w:r>
          </w:p>
        </w:tc>
        <w:tc>
          <w:tcPr>
            <w:tcW w:w="2903" w:type="dxa"/>
            <w:vAlign w:val="center"/>
          </w:tcPr>
          <w:p w14:paraId="15B7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29.45 </w:t>
            </w:r>
          </w:p>
        </w:tc>
        <w:tc>
          <w:tcPr>
            <w:tcW w:w="2903" w:type="dxa"/>
            <w:vAlign w:val="center"/>
          </w:tcPr>
          <w:p w14:paraId="0CF1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14.1</w:t>
            </w:r>
          </w:p>
        </w:tc>
      </w:tr>
      <w:tr w14:paraId="59A866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64BC1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住宿和餐饮业</w:t>
            </w:r>
          </w:p>
        </w:tc>
        <w:tc>
          <w:tcPr>
            <w:tcW w:w="2903" w:type="dxa"/>
            <w:vAlign w:val="center"/>
          </w:tcPr>
          <w:p w14:paraId="3A6F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15.68 </w:t>
            </w:r>
          </w:p>
        </w:tc>
        <w:tc>
          <w:tcPr>
            <w:tcW w:w="2903" w:type="dxa"/>
            <w:vAlign w:val="center"/>
          </w:tcPr>
          <w:p w14:paraId="2413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13.9</w:t>
            </w:r>
          </w:p>
        </w:tc>
      </w:tr>
      <w:tr w14:paraId="42936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610F6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金融业</w:t>
            </w:r>
          </w:p>
        </w:tc>
        <w:tc>
          <w:tcPr>
            <w:tcW w:w="2903" w:type="dxa"/>
            <w:vAlign w:val="center"/>
          </w:tcPr>
          <w:p w14:paraId="0344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2903" w:type="dxa"/>
            <w:vAlign w:val="center"/>
          </w:tcPr>
          <w:p w14:paraId="17B6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10.3</w:t>
            </w:r>
          </w:p>
        </w:tc>
      </w:tr>
      <w:tr w14:paraId="437894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 w14:paraId="15C72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房地产业</w:t>
            </w:r>
          </w:p>
        </w:tc>
        <w:tc>
          <w:tcPr>
            <w:tcW w:w="2903" w:type="dxa"/>
            <w:vAlign w:val="center"/>
          </w:tcPr>
          <w:p w14:paraId="36FE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66.64 </w:t>
            </w:r>
          </w:p>
        </w:tc>
        <w:tc>
          <w:tcPr>
            <w:tcW w:w="2903" w:type="dxa"/>
            <w:vAlign w:val="center"/>
          </w:tcPr>
          <w:p w14:paraId="1A3C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-1.9</w:t>
            </w:r>
          </w:p>
        </w:tc>
      </w:tr>
      <w:tr w14:paraId="52479C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902" w:type="dxa"/>
            <w:vAlign w:val="center"/>
          </w:tcPr>
          <w:p w14:paraId="5C2B2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sz w:val="22"/>
                <w:szCs w:val="22"/>
                <w:highlight w:val="none"/>
              </w:rPr>
              <w:t xml:space="preserve">  其他服务业</w:t>
            </w:r>
          </w:p>
        </w:tc>
        <w:tc>
          <w:tcPr>
            <w:tcW w:w="2903" w:type="dxa"/>
            <w:vAlign w:val="center"/>
          </w:tcPr>
          <w:p w14:paraId="5420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196.98</w:t>
            </w:r>
          </w:p>
        </w:tc>
        <w:tc>
          <w:tcPr>
            <w:tcW w:w="2903" w:type="dxa"/>
            <w:vAlign w:val="center"/>
          </w:tcPr>
          <w:p w14:paraId="010E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5.7</w:t>
            </w:r>
          </w:p>
        </w:tc>
      </w:tr>
    </w:tbl>
    <w:p w14:paraId="76AFEEAD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p w14:paraId="2F9A6CB4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二、农业</w:t>
      </w:r>
    </w:p>
    <w:p w14:paraId="300CE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eastAsia="方正仿宋简体"/>
          <w:sz w:val="32"/>
          <w:szCs w:val="32"/>
        </w:rPr>
      </w:pPr>
    </w:p>
    <w:p w14:paraId="7E52E3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eastAsia="方正仿宋简体"/>
          <w:color w:val="000000"/>
          <w:sz w:val="32"/>
          <w:szCs w:val="32"/>
          <w:highlight w:val="none"/>
        </w:rPr>
      </w:pPr>
      <w:r>
        <w:rPr>
          <w:rFonts w:eastAsia="方正仿宋简体"/>
          <w:color w:val="000000"/>
          <w:sz w:val="32"/>
          <w:szCs w:val="32"/>
          <w:highlight w:val="none"/>
        </w:rPr>
        <w:t>202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eastAsia="方正仿宋简体"/>
          <w:color w:val="000000"/>
          <w:sz w:val="32"/>
          <w:szCs w:val="32"/>
          <w:highlight w:val="none"/>
        </w:rPr>
        <w:t>年农业生产继续保持稳步发展。全年全区完成农林牧渔业总产值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18.13</w:t>
      </w:r>
      <w:r>
        <w:rPr>
          <w:rFonts w:eastAsia="方正仿宋简体"/>
          <w:color w:val="000000"/>
          <w:sz w:val="32"/>
          <w:szCs w:val="32"/>
          <w:highlight w:val="none"/>
        </w:rPr>
        <w:t>亿元，增长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1.8</w:t>
      </w:r>
      <w:r>
        <w:rPr>
          <w:rFonts w:eastAsia="方正仿宋简体"/>
          <w:color w:val="000000"/>
          <w:sz w:val="32"/>
          <w:szCs w:val="32"/>
          <w:highlight w:val="none"/>
        </w:rPr>
        <w:t>%。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其中农业产值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10.05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亿元，同比增长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3.5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%；牧业产值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3.24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亿元，同比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13.5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%；渔业产值1.6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亿元，同比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0.5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%；农林牧渔专业及辅助性活动产值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3.22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亿元，同比增长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26.2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%。</w:t>
      </w:r>
    </w:p>
    <w:p w14:paraId="4CCDF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eastAsia="方正仿宋简体"/>
          <w:color w:val="000000"/>
          <w:sz w:val="32"/>
          <w:szCs w:val="32"/>
          <w:highlight w:val="none"/>
        </w:rPr>
      </w:pPr>
      <w:r>
        <w:rPr>
          <w:rFonts w:eastAsia="方正仿宋简体"/>
          <w:color w:val="000000"/>
          <w:sz w:val="32"/>
          <w:szCs w:val="32"/>
          <w:highlight w:val="none"/>
        </w:rPr>
        <w:t>农作物总播种面积12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4276</w:t>
      </w:r>
      <w:r>
        <w:rPr>
          <w:rFonts w:eastAsia="方正仿宋简体"/>
          <w:color w:val="000000"/>
          <w:sz w:val="32"/>
          <w:szCs w:val="32"/>
          <w:highlight w:val="none"/>
        </w:rPr>
        <w:t>亩。粮食作物播种面积4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2430</w:t>
      </w:r>
      <w:r>
        <w:rPr>
          <w:rFonts w:eastAsia="方正仿宋简体"/>
          <w:color w:val="000000"/>
          <w:sz w:val="32"/>
          <w:szCs w:val="32"/>
          <w:highlight w:val="none"/>
        </w:rPr>
        <w:t>亩，其中稻谷面积3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1525</w:t>
      </w:r>
      <w:r>
        <w:rPr>
          <w:rFonts w:eastAsia="方正仿宋简体"/>
          <w:color w:val="000000"/>
          <w:sz w:val="32"/>
          <w:szCs w:val="32"/>
          <w:highlight w:val="none"/>
        </w:rPr>
        <w:t>亩，玉米面积4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280</w:t>
      </w:r>
      <w:r>
        <w:rPr>
          <w:rFonts w:eastAsia="方正仿宋简体"/>
          <w:color w:val="000000"/>
          <w:sz w:val="32"/>
          <w:szCs w:val="32"/>
          <w:highlight w:val="none"/>
        </w:rPr>
        <w:t>亩，大豆面积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712</w:t>
      </w:r>
      <w:r>
        <w:rPr>
          <w:rFonts w:eastAsia="方正仿宋简体"/>
          <w:color w:val="000000"/>
          <w:sz w:val="32"/>
          <w:szCs w:val="32"/>
          <w:highlight w:val="none"/>
        </w:rPr>
        <w:t>亩，薯类面积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5913</w:t>
      </w:r>
      <w:r>
        <w:rPr>
          <w:rFonts w:eastAsia="方正仿宋简体"/>
          <w:color w:val="000000"/>
          <w:sz w:val="32"/>
          <w:szCs w:val="32"/>
          <w:highlight w:val="none"/>
        </w:rPr>
        <w:t>亩。经济作物面积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81846</w:t>
      </w:r>
      <w:r>
        <w:rPr>
          <w:rFonts w:eastAsia="方正仿宋简体"/>
          <w:color w:val="000000"/>
          <w:sz w:val="32"/>
          <w:szCs w:val="32"/>
          <w:highlight w:val="none"/>
        </w:rPr>
        <w:t>亩，其中花生面积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896</w:t>
      </w:r>
      <w:r>
        <w:rPr>
          <w:rFonts w:eastAsia="方正仿宋简体"/>
          <w:color w:val="000000"/>
          <w:sz w:val="32"/>
          <w:szCs w:val="32"/>
          <w:highlight w:val="none"/>
        </w:rPr>
        <w:t>亩，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中草药材面积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135亩，</w:t>
      </w:r>
      <w:r>
        <w:rPr>
          <w:rFonts w:eastAsia="方正仿宋简体"/>
          <w:color w:val="000000"/>
          <w:sz w:val="32"/>
          <w:szCs w:val="32"/>
          <w:highlight w:val="none"/>
        </w:rPr>
        <w:t>蔬菜面积7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9441</w:t>
      </w:r>
      <w:r>
        <w:rPr>
          <w:rFonts w:eastAsia="方正仿宋简体"/>
          <w:color w:val="000000"/>
          <w:sz w:val="32"/>
          <w:szCs w:val="32"/>
          <w:highlight w:val="none"/>
        </w:rPr>
        <w:t>亩，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瓜果类（果用瓜）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228</w:t>
      </w:r>
      <w:r>
        <w:rPr>
          <w:rFonts w:eastAsia="方正仿宋简体"/>
          <w:color w:val="000000"/>
          <w:sz w:val="32"/>
          <w:szCs w:val="32"/>
          <w:highlight w:val="none"/>
        </w:rPr>
        <w:t>亩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，其他农作物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1146亩</w:t>
      </w:r>
      <w:r>
        <w:rPr>
          <w:rFonts w:eastAsia="方正仿宋简体"/>
          <w:color w:val="000000"/>
          <w:sz w:val="32"/>
          <w:szCs w:val="32"/>
          <w:highlight w:val="none"/>
        </w:rPr>
        <w:t>。</w:t>
      </w:r>
    </w:p>
    <w:p w14:paraId="5158B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eastAsia="方正仿宋简体"/>
          <w:color w:val="000000"/>
          <w:sz w:val="32"/>
          <w:szCs w:val="32"/>
          <w:highlight w:val="yellow"/>
        </w:rPr>
      </w:pPr>
    </w:p>
    <w:tbl>
      <w:tblPr>
        <w:tblStyle w:val="11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1728"/>
        <w:gridCol w:w="1096"/>
        <w:gridCol w:w="2948"/>
      </w:tblGrid>
      <w:tr w14:paraId="5354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FF2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  <w:t>年农业主要产品产量</w:t>
            </w:r>
          </w:p>
          <w:p w14:paraId="708A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7C5D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F7A595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产品名称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70740D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计量单位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68652B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产量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7CDF0C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同比增长（%）</w:t>
            </w:r>
          </w:p>
        </w:tc>
      </w:tr>
      <w:tr w14:paraId="14211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BC9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粮食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A30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41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2.0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FE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0.3</w:t>
            </w:r>
          </w:p>
        </w:tc>
      </w:tr>
      <w:tr w14:paraId="3F19E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3E8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#稻谷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778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F1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1.5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497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0.8</w:t>
            </w:r>
          </w:p>
        </w:tc>
      </w:tr>
      <w:tr w14:paraId="5C81B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D4B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水果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95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FF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eastAsia="方正仿宋简体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44F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25.3</w:t>
            </w:r>
          </w:p>
        </w:tc>
      </w:tr>
      <w:tr w14:paraId="05B9C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82A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肉类总产量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070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5C2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  <w:t>0.68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0C6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-16.6</w:t>
            </w:r>
          </w:p>
        </w:tc>
      </w:tr>
      <w:tr w14:paraId="5AC0D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0E3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生猪出栏量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A8D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万头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2BF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79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100</w:t>
            </w:r>
          </w:p>
        </w:tc>
      </w:tr>
      <w:tr w14:paraId="612C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C2B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家禽出栏量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D2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万只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087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315.66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46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-15.7</w:t>
            </w:r>
          </w:p>
        </w:tc>
      </w:tr>
      <w:tr w14:paraId="7421A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9F7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禽蛋产量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1B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19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0.0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CB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1.3</w:t>
            </w:r>
          </w:p>
        </w:tc>
      </w:tr>
      <w:tr w14:paraId="71069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49E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水产品产量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FF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FBC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0.97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35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-0.6</w:t>
            </w:r>
          </w:p>
        </w:tc>
      </w:tr>
      <w:tr w14:paraId="0D45D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D5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#海水产品产量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17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0FD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43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A01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  <w:t>10.3</w:t>
            </w:r>
          </w:p>
        </w:tc>
      </w:tr>
      <w:tr w14:paraId="44E0B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B78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淡水产品产量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8A8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3D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BAD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7.9</w:t>
            </w:r>
          </w:p>
        </w:tc>
      </w:tr>
    </w:tbl>
    <w:p w14:paraId="4D98C766">
      <w:pPr>
        <w:pStyle w:val="25"/>
        <w:jc w:val="left"/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备注：水果年末实有总产量包含瓜类（果用瓜）。</w:t>
      </w:r>
    </w:p>
    <w:p w14:paraId="50337143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 w14:paraId="53275958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三、工业和建筑业</w:t>
      </w:r>
    </w:p>
    <w:p w14:paraId="2CF6323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简体" w:cs="Times New Roman"/>
          <w:color w:val="FF0000"/>
          <w:sz w:val="32"/>
          <w:szCs w:val="32"/>
        </w:rPr>
      </w:pPr>
    </w:p>
    <w:p w14:paraId="155AE7A0">
      <w:pPr>
        <w:pStyle w:val="19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年，</w:t>
      </w:r>
      <w:r>
        <w:rPr>
          <w:rFonts w:ascii="Times New Roman" w:hAnsi="Times New Roman" w:eastAsia="仿宋_GB2312" w:cs="Times New Roman"/>
          <w:sz w:val="32"/>
          <w:szCs w:val="32"/>
        </w:rPr>
        <w:t>规模以上工业企业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298</w:t>
      </w:r>
      <w:r>
        <w:rPr>
          <w:rFonts w:ascii="Times New Roman" w:hAnsi="Times New Roman" w:eastAsia="仿宋_GB2312" w:cs="Times New Roman"/>
          <w:sz w:val="32"/>
          <w:szCs w:val="32"/>
        </w:rPr>
        <w:t>户，完成规模以上工业产值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409.53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下降22.3</w:t>
      </w:r>
      <w:r>
        <w:rPr>
          <w:rFonts w:ascii="Times New Roman" w:hAnsi="Times New Roman" w:eastAsia="仿宋_GB2312" w:cs="Times New Roman"/>
          <w:sz w:val="32"/>
          <w:szCs w:val="32"/>
        </w:rPr>
        <w:t>%；规模以上工业增加值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78.03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下降25.0%</w:t>
      </w:r>
      <w:r>
        <w:rPr>
          <w:rFonts w:ascii="Times New Roman" w:hAnsi="Times New Roman" w:eastAsia="仿宋_GB2312" w:cs="Times New Roman"/>
          <w:sz w:val="32"/>
          <w:szCs w:val="32"/>
        </w:rPr>
        <w:t>。在规模以上工业中，股份制企业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下降22.5</w:t>
      </w:r>
      <w:r>
        <w:rPr>
          <w:rFonts w:ascii="Times New Roman" w:hAnsi="Times New Roman" w:eastAsia="仿宋_GB2312" w:cs="Times New Roman"/>
          <w:sz w:val="32"/>
          <w:szCs w:val="32"/>
        </w:rPr>
        <w:t>%，外商及港澳台商投资企业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下降23.0</w:t>
      </w:r>
      <w:r>
        <w:rPr>
          <w:rFonts w:ascii="Times New Roman" w:hAnsi="Times New Roman" w:eastAsia="仿宋_GB2312" w:cs="Times New Roman"/>
          <w:sz w:val="32"/>
          <w:szCs w:val="32"/>
        </w:rPr>
        <w:t>%，其他经济类型企业增长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</w:t>
      </w:r>
      <w:r>
        <w:rPr>
          <w:rFonts w:ascii="Times New Roman" w:hAnsi="Times New Roman" w:eastAsia="仿宋_GB2312" w:cs="Times New Roman"/>
          <w:sz w:val="32"/>
          <w:szCs w:val="32"/>
        </w:rPr>
        <w:t>%。规模以上工业实现销售产值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329.08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下降24.1</w:t>
      </w:r>
      <w:r>
        <w:rPr>
          <w:rFonts w:ascii="Times New Roman" w:hAnsi="Times New Roman" w:eastAsia="仿宋_GB2312" w:cs="Times New Roman"/>
          <w:sz w:val="32"/>
          <w:szCs w:val="32"/>
        </w:rPr>
        <w:t>%，其中出口交货值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75.53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下降4.1</w:t>
      </w:r>
      <w:r>
        <w:rPr>
          <w:rFonts w:ascii="Times New Roman" w:hAnsi="Times New Roman" w:eastAsia="仿宋_GB2312" w:cs="Times New Roman"/>
          <w:sz w:val="32"/>
          <w:szCs w:val="32"/>
        </w:rPr>
        <w:t>%；工业产品销售率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80.4</w:t>
      </w:r>
      <w:r>
        <w:rPr>
          <w:rFonts w:ascii="Times New Roman" w:hAnsi="Times New Roman" w:eastAsia="仿宋_GB2312" w:cs="Times New Roman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</w:t>
      </w:r>
      <w:r>
        <w:rPr>
          <w:rFonts w:ascii="Times New Roman" w:hAnsi="Times New Roman" w:eastAsia="仿宋_GB2312" w:cs="Times New Roman"/>
          <w:sz w:val="32"/>
          <w:szCs w:val="32"/>
        </w:rPr>
        <w:t>个百分点。</w:t>
      </w:r>
    </w:p>
    <w:p w14:paraId="5131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</w:p>
    <w:p w14:paraId="2AC48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709285" cy="3515360"/>
            <wp:effectExtent l="4445" t="4445" r="20320" b="234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52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</w:p>
    <w:p w14:paraId="6410A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全区建筑企业完成施工产值72.9亿元，下降59.6%，房屋建筑施工面积646.28万平方米，房屋竣工产值88.49亿元。</w:t>
      </w:r>
    </w:p>
    <w:p w14:paraId="77DE40E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center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3C5B34D2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四、固定资产投资</w:t>
      </w:r>
    </w:p>
    <w:p w14:paraId="0D4E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</w:p>
    <w:p w14:paraId="4F401AB2">
      <w:pPr>
        <w:pStyle w:val="20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全年完成全社会固定资产投资额下降7.4%。其中房地产开发投资下降38.2%。（以下数据不含市直项目）全年固定资产投资建设项目373个，其中本年度新开工项目216个。本年度完成投资额在1000万元以上的项目230个，其中完成投资额在2000万元以上的项目177个，完成投资额在5000万元以上的项目有67个。</w:t>
      </w:r>
    </w:p>
    <w:p w14:paraId="0E6D25E0">
      <w:pPr>
        <w:pStyle w:val="20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7A4EBF18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drawing>
          <wp:inline distT="0" distB="0" distL="114300" distR="114300">
            <wp:extent cx="5541010" cy="2898775"/>
            <wp:effectExtent l="0" t="0" r="254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669E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</w:p>
    <w:p w14:paraId="1D24389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五、国内贸易</w:t>
      </w:r>
    </w:p>
    <w:p w14:paraId="39F7E1E2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 w14:paraId="16947C1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社会消费品零售总额312.93亿元，下降1.3%。全年限上汽车零售额75.84亿元，下降7.9%。大型超市7个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全年零售额4.80亿元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下降19.1%。限上汽车零售、大型超市和餐饮零售额占全区社会消费品零售总额的29.9%。</w:t>
      </w:r>
    </w:p>
    <w:p w14:paraId="110A99A7">
      <w:pPr>
        <w:pStyle w:val="26"/>
        <w:spacing w:line="560" w:lineRule="exact"/>
        <w:rPr>
          <w:rFonts w:eastAsia="仿宋_GB2312"/>
          <w:sz w:val="32"/>
          <w:szCs w:val="32"/>
        </w:rPr>
      </w:pPr>
    </w:p>
    <w:p w14:paraId="67BB550A">
      <w:pPr>
        <w:pStyle w:val="26"/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inside</wp:align>
            </wp:positionH>
            <wp:positionV relativeFrom="page">
              <wp:align>top</wp:align>
            </wp:positionV>
            <wp:extent cx="5194300" cy="4479925"/>
            <wp:effectExtent l="0" t="0" r="6350" b="15875"/>
            <wp:wrapTopAndBottom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04326C91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六、对外经济贸易</w:t>
      </w:r>
    </w:p>
    <w:p w14:paraId="0471BEF1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307779E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全年累计引进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外商直接投资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宗，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合同外资金额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10.99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84.6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；实际吸收外资金额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1.32亿</w:t>
      </w:r>
      <w:r>
        <w:rPr>
          <w:rFonts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493.2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 w14:paraId="1AE49B2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57F9319A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七、财  政</w:t>
      </w:r>
    </w:p>
    <w:p w14:paraId="5FDA73E0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107DC185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800" w:firstLineChars="250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全年实现一般公共预算收入累计15.56亿元，累计增长6.5%。其中，税收收入10.72亿元，累计下降7.5%，税收占比68.9%；非税收入4.84亿元，累计增长59.9%，非税占比31.1%。全年一般公共预算支出累计33.73亿元，累计增长10.0%。</w:t>
      </w:r>
    </w:p>
    <w:p w14:paraId="6099AE1E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800" w:firstLineChars="250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</w:p>
    <w:p w14:paraId="458A3CF1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八、科技、教育、文化、卫生和体育</w:t>
      </w:r>
    </w:p>
    <w:p w14:paraId="028C803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</w:p>
    <w:p w14:paraId="4F416D7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</w:pP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科技方面。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年共组织推荐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家企业申报高新技术企业认定，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家企业申报科技型中小企业认定。广东正超电气有限公司的“汕头市智能电网重点实验室”获省重点实验室认定。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个省级工程技术中心，新增数量连续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年列各区县第一；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汕头市信技电子科技有限公司企业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获得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年第一批市级工程技术研究中心认定，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家企业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申报第二批认定。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202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年1-12月全区专利授权量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2063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件，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同比增长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4.19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%，其中发明专利授权量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234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件，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同比增长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33.71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%。</w:t>
      </w:r>
    </w:p>
    <w:p w14:paraId="717DCCC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简体" w:cs="Courier New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教育方面。</w:t>
      </w:r>
      <w:r>
        <w:rPr>
          <w:rFonts w:hint="eastAsia" w:ascii="Times New Roman" w:hAnsi="Times New Roman" w:eastAsia="方正仿宋简体" w:cs="Courier New"/>
          <w:color w:val="000000"/>
          <w:kern w:val="2"/>
          <w:sz w:val="32"/>
          <w:szCs w:val="32"/>
          <w:highlight w:val="none"/>
          <w:lang w:val="en-US" w:eastAsia="zh-CN" w:bidi="ar-SA"/>
        </w:rPr>
        <w:t>2024 年全区有中小学校、幼儿园共245所，其中高级中学1所，完全中学6所，十二年一贯制2所，九年一贯制学校14所，初级中学6所，小学60所，幼儿园155所，特殊教育学校1所。公办中小学校75所，民办中小学校14所。全区在校学生、在园幼儿共135624人，其中普通高中学校11116人，初中生29611人，小学生 67704人，在园幼儿27193人</w:t>
      </w:r>
      <w:r>
        <w:rPr>
          <w:rFonts w:hint="eastAsia" w:eastAsia="方正仿宋简体" w:cs="Courier New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" w:hAnsi="Times New Roman" w:eastAsia="方正仿宋简体" w:cs="Courier New"/>
          <w:color w:val="000000"/>
          <w:kern w:val="2"/>
          <w:sz w:val="32"/>
          <w:szCs w:val="32"/>
          <w:highlight w:val="none"/>
          <w:lang w:val="en-US" w:eastAsia="zh-CN" w:bidi="ar-SA"/>
        </w:rPr>
        <w:t>全区有专任教师8930人，其中幼儿园专任教师2214人，小学专任教师3705人，初中专任教师 2149人，普通高中专任教师862人。</w:t>
      </w:r>
    </w:p>
    <w:p w14:paraId="719DE78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文化方面。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2024年龙湖区图书馆新增图书1.53万册。数字化资源建设取得进展，新增电子图书2.98万册，公众号链接各类电子资源达到9种，增强了线上服务能力。全年接待读者25万人次，流通册数达到30万册次，新增办证数量3855个。总馆举办各类阅读推广活动53场，包括读书会、讲座、展览等，有效激发了公众的阅读兴趣。新增图书馆服务点5个，投放图书7818册。馆校合作模式探索取得进展，在幼儿园和龙泰小学等中小学建立的服务点达到9所。总分馆制建设方面。为鸥汀文化站（分馆）、外砂文化站和各服务点配置轮换图书约2万册，配置自助借阅机，为合胜分馆更新电子阅读机设备1台。广泛开展群众喜闻乐见的文化活动，全年线上线下活动参与人次达10.6万人次。2024年5月，龙湖区图书馆入选国家文化和旅游部办公厅公布的“基层公共阅读服务推广项目”名单（粤东地区唯一入选的公共图书馆）。</w:t>
      </w:r>
    </w:p>
    <w:p w14:paraId="79C086D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2024年，龙湖文化馆文艺下基层活动形式多样，包括展览、音乐会、非遗体验、电影、村晚等多种类型，全年线上线下共举办文化惠民活动45场。</w:t>
      </w:r>
    </w:p>
    <w:p w14:paraId="079D0B4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为持续推动龙湖核心商圈夜间经济发展，举办“商圈里的文化夜市”——2024“夏一站，Dating龙湖”活动，活动吸引超8500人次的市民和游客参与，感受龙湖浓郁的城市“烟火气”；以“潮聚•向汕”喜迎盛会为主题，举办2024龙湖区文化旅游周，活动期间共推出相关视频17条，收藏4千，点赞推荐1.5万，转发1.2万；共推出相关推文12条，综合阅读量10万。五一及国庆期间，A级旅游景区累计游客85790人次，同比增长66.3%，累计消费282.7万元。</w:t>
      </w:r>
    </w:p>
    <w:p w14:paraId="6CEA4AB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截至目前共有区级非遗项目20项、市级非遗项目16项、省级非遗项目4项、国家级1项，同时落实搭建非遗展示平台，联合社会力量携手共建，依托星旅居（粤文坊）平台培育打造“非遗沉浸式体验馆”，常态化开展非遗体验活动13场，并积极引导各非遗项目参加各类大型活动展示10余场。</w:t>
      </w:r>
    </w:p>
    <w:p w14:paraId="42A18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highlight w:val="red"/>
          <w:lang w:eastAsia="zh-CN"/>
        </w:rPr>
      </w:pPr>
      <w:r>
        <w:rPr>
          <w:rFonts w:hint="eastAsia" w:ascii="Times New Roman" w:hAnsi="Times New Roman" w:eastAsia="仿宋" w:cs="CESI仿宋-GB2312"/>
          <w:sz w:val="32"/>
          <w:szCs w:val="32"/>
        </w:rPr>
        <w:t>卫生健康事业方面。截至202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CESI仿宋-GB2312"/>
          <w:sz w:val="32"/>
          <w:szCs w:val="32"/>
        </w:rPr>
        <w:t>年12月底，全区拥有公立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医院3个，社区医院2个，民营医院1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 xml:space="preserve">个，门诊部 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个、诊所及其他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  <w:lang w:val="en-US" w:eastAsia="zh-CN"/>
        </w:rPr>
        <w:t>349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个，农村卫生站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个。全区执业（助理）医师</w:t>
      </w:r>
      <w:r>
        <w:rPr>
          <w:rFonts w:hint="eastAsia" w:ascii="Times New Roman" w:hAnsi="Times New Roman" w:eastAsia="仿宋" w:cs="CESI仿宋-GB2312"/>
          <w:sz w:val="32"/>
          <w:szCs w:val="32"/>
        </w:rPr>
        <w:t>数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1975</w:t>
      </w:r>
      <w:r>
        <w:rPr>
          <w:rFonts w:hint="eastAsia" w:ascii="Times New Roman" w:hAnsi="Times New Roman" w:eastAsia="仿宋" w:cs="CESI仿宋-GB2312"/>
          <w:sz w:val="32"/>
          <w:szCs w:val="32"/>
        </w:rPr>
        <w:t xml:space="preserve"> 人，注册护士数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2042</w:t>
      </w:r>
      <w:r>
        <w:rPr>
          <w:rFonts w:hint="eastAsia" w:ascii="Times New Roman" w:hAnsi="Times New Roman" w:eastAsia="仿宋" w:cs="CESI仿宋-GB2312"/>
          <w:sz w:val="32"/>
          <w:szCs w:val="32"/>
        </w:rPr>
        <w:t>人，床位数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2632</w:t>
      </w:r>
      <w:r>
        <w:rPr>
          <w:rFonts w:hint="eastAsia" w:ascii="Times New Roman" w:hAnsi="Times New Roman" w:eastAsia="仿宋" w:cs="CESI仿宋-GB2312"/>
          <w:sz w:val="32"/>
          <w:szCs w:val="32"/>
        </w:rPr>
        <w:t xml:space="preserve"> 张，每千人口占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有床位</w:t>
      </w:r>
      <w:r>
        <w:rPr>
          <w:rFonts w:hint="eastAsia" w:eastAsia="仿宋" w:cs="CESI仿宋-GB2312"/>
          <w:color w:val="auto"/>
          <w:sz w:val="32"/>
          <w:szCs w:val="32"/>
          <w:lang w:val="en-US" w:eastAsia="zh-CN"/>
        </w:rPr>
        <w:t>4.98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张。全区5家公立医院诊疗人数</w:t>
      </w:r>
      <w:r>
        <w:rPr>
          <w:rFonts w:hint="eastAsia" w:eastAsia="仿宋" w:cs="CESI仿宋-GB2312"/>
          <w:color w:val="auto"/>
          <w:sz w:val="32"/>
          <w:szCs w:val="32"/>
          <w:lang w:val="en-US" w:eastAsia="zh-CN"/>
        </w:rPr>
        <w:t>1045846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人次，同比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  <w:lang w:eastAsia="zh-CN"/>
        </w:rPr>
        <w:t>增加</w:t>
      </w:r>
      <w:r>
        <w:rPr>
          <w:rFonts w:hint="eastAsia" w:eastAsia="仿宋" w:cs="CESI仿宋-GB2312"/>
          <w:color w:val="auto"/>
          <w:sz w:val="32"/>
          <w:szCs w:val="32"/>
          <w:lang w:val="en-US" w:eastAsia="zh-CN"/>
        </w:rPr>
        <w:t>1.33</w:t>
      </w:r>
      <w:r>
        <w:rPr>
          <w:rFonts w:hint="eastAsia" w:ascii="Times New Roman" w:hAnsi="Times New Roman" w:eastAsia="仿宋" w:cs="CESI仿宋-GB2312"/>
          <w:color w:val="auto"/>
          <w:sz w:val="32"/>
          <w:szCs w:val="32"/>
        </w:rPr>
        <w:t>%；出院</w:t>
      </w:r>
      <w:r>
        <w:rPr>
          <w:rFonts w:hint="eastAsia" w:ascii="Times New Roman" w:hAnsi="Times New Roman" w:eastAsia="仿宋" w:cs="CESI仿宋-GB2312"/>
          <w:sz w:val="32"/>
          <w:szCs w:val="32"/>
        </w:rPr>
        <w:t>人数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22019</w:t>
      </w:r>
      <w:r>
        <w:rPr>
          <w:rFonts w:hint="eastAsia" w:ascii="Times New Roman" w:hAnsi="Times New Roman" w:eastAsia="仿宋" w:cs="CESI仿宋-GB2312"/>
          <w:sz w:val="32"/>
          <w:szCs w:val="32"/>
        </w:rPr>
        <w:t>例，同比</w:t>
      </w:r>
      <w:r>
        <w:rPr>
          <w:rFonts w:hint="eastAsia" w:ascii="Times New Roman" w:hAnsi="Times New Roman" w:eastAsia="仿宋" w:cs="CESI仿宋-GB2312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1.08</w:t>
      </w:r>
      <w:r>
        <w:rPr>
          <w:rFonts w:hint="eastAsia" w:ascii="Times New Roman" w:hAnsi="Times New Roman" w:eastAsia="仿宋" w:cs="CESI仿宋-GB2312"/>
          <w:sz w:val="32"/>
          <w:szCs w:val="32"/>
        </w:rPr>
        <w:t>%；医疗收入</w:t>
      </w:r>
      <w:r>
        <w:rPr>
          <w:rFonts w:hint="eastAsia" w:eastAsia="仿宋" w:cs="CESI仿宋-GB2312"/>
          <w:sz w:val="32"/>
          <w:szCs w:val="32"/>
          <w:lang w:val="en-US" w:eastAsia="zh-CN"/>
        </w:rPr>
        <w:t>36646</w:t>
      </w:r>
      <w:r>
        <w:rPr>
          <w:rFonts w:hint="eastAsia" w:ascii="Times New Roman" w:hAnsi="Times New Roman" w:eastAsia="仿宋" w:cs="CESI仿宋-GB2312"/>
          <w:sz w:val="32"/>
          <w:szCs w:val="32"/>
        </w:rPr>
        <w:t>万元，同比</w:t>
      </w:r>
      <w:r>
        <w:rPr>
          <w:rFonts w:hint="eastAsia" w:eastAsia="仿宋" w:cs="CESI仿宋-GB2312"/>
          <w:sz w:val="32"/>
          <w:szCs w:val="32"/>
          <w:lang w:eastAsia="zh-CN"/>
        </w:rPr>
        <w:t>减少</w:t>
      </w:r>
      <w:r>
        <w:rPr>
          <w:rFonts w:hint="eastAsia" w:eastAsia="仿宋" w:cs="CESI仿宋-GB2312"/>
          <w:sz w:val="32"/>
          <w:szCs w:val="32"/>
          <w:lang w:val="en-US" w:eastAsia="zh-CN"/>
        </w:rPr>
        <w:t>0.99</w:t>
      </w:r>
      <w:r>
        <w:rPr>
          <w:rFonts w:hint="eastAsia" w:ascii="Times New Roman" w:hAnsi="Times New Roman" w:eastAsia="仿宋" w:cs="CESI仿宋-GB2312"/>
          <w:sz w:val="32"/>
          <w:szCs w:val="32"/>
        </w:rPr>
        <w:t>%。</w:t>
      </w:r>
    </w:p>
    <w:p w14:paraId="596979B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/>
          <w:strike/>
          <w:dstrike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体育方面。2024年推动新溪街道文化站文化展厅、龙腾街道文化站新站、龙祥街道文化站新站、金洲春联馆、蔡社东北门户等一批公共文化设施提质升级，并均已免费对外开放，其中新溪街道文化站、外砂街道文化站在第十次广东省乡镇（街道）综合文化站评估定级中获评省特级文化站。实施全民健身补短板工程，配合市文广旅体局为6个村居增设6件乒乓球桌。进一步推动全民健身场地设施建设，截至目前，人均体育场地面积达到4.19平方米，建成200公里以上健身步道、同时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Hans"/>
        </w:rPr>
        <w:t>拥有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每万人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Hans"/>
        </w:rPr>
        <w:t>足球场地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超过0.9块，2024年新增汕头市龙湖区篮球协会，累计共有6家体育类社会组织。积极培育特色体育品牌，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Hans"/>
        </w:rPr>
        <w:t>形成村BA篮球赛、“龙湖杯”中小学足球比赛、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中小学（幼儿园）棋类运动会、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Hans"/>
        </w:rPr>
        <w:t>万里碧道徒步活动等体育品牌活动，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Hans"/>
        </w:rPr>
        <w:t>村BA篮球赛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共计吸引线下观众2000余人观赛，短视频平台全程赛事线上直播观看共计2.7万人次，小球迷图文直播平台曝光量达69.3万。</w:t>
      </w:r>
    </w:p>
    <w:p w14:paraId="0A57FAA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</w:p>
    <w:p w14:paraId="08E7CD1B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九、</w:t>
      </w: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  <w:t>人口、人民生活、社会保障和安全生产</w:t>
      </w:r>
    </w:p>
    <w:p w14:paraId="15E40F5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00D1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eastAsia="方正仿宋简体"/>
          <w:color w:val="000000"/>
          <w:sz w:val="32"/>
          <w:szCs w:val="32"/>
          <w:highlight w:val="red"/>
        </w:rPr>
      </w:pPr>
      <w:r>
        <w:rPr>
          <w:rFonts w:eastAsia="方正仿宋简体"/>
          <w:color w:val="000000"/>
          <w:sz w:val="32"/>
          <w:szCs w:val="32"/>
        </w:rPr>
        <w:t>截至202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4</w:t>
      </w:r>
      <w:r>
        <w:rPr>
          <w:rFonts w:eastAsia="方正仿宋简体"/>
          <w:color w:val="000000"/>
          <w:sz w:val="32"/>
          <w:szCs w:val="32"/>
        </w:rPr>
        <w:t>年11月30日，户籍总户数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149707</w:t>
      </w:r>
      <w:r>
        <w:rPr>
          <w:rFonts w:eastAsia="方正仿宋简体"/>
          <w:color w:val="000000"/>
          <w:sz w:val="32"/>
          <w:szCs w:val="32"/>
        </w:rPr>
        <w:t>户，总人口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534958</w:t>
      </w:r>
      <w:r>
        <w:rPr>
          <w:rFonts w:eastAsia="方正仿宋简体"/>
          <w:color w:val="000000"/>
          <w:sz w:val="32"/>
          <w:szCs w:val="32"/>
        </w:rPr>
        <w:t>人，其中乡村人口32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31</w:t>
      </w:r>
      <w:r>
        <w:rPr>
          <w:rFonts w:eastAsia="方正仿宋简体"/>
          <w:color w:val="000000"/>
          <w:sz w:val="32"/>
          <w:szCs w:val="32"/>
        </w:rPr>
        <w:t>人。</w:t>
      </w:r>
      <w:r>
        <w:rPr>
          <w:rFonts w:hint="eastAsia" w:ascii="Times New Roman" w:hAnsi="Times New Roman" w:eastAsia="仿宋" w:cs="CESI仿宋-GB2312"/>
          <w:sz w:val="32"/>
          <w:szCs w:val="32"/>
        </w:rPr>
        <w:t>截至202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CESI仿宋-GB2312"/>
          <w:sz w:val="32"/>
          <w:szCs w:val="32"/>
        </w:rPr>
        <w:t>年12月底</w:t>
      </w:r>
      <w:r>
        <w:rPr>
          <w:rFonts w:hint="eastAsia" w:ascii="Times New Roman" w:hAnsi="Times New Roman" w:eastAsia="仿宋" w:cs="CESI仿宋-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CESI仿宋-GB2312"/>
          <w:sz w:val="32"/>
          <w:szCs w:val="32"/>
        </w:rPr>
        <w:t>户籍人口出生率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10.42</w:t>
      </w:r>
      <w:r>
        <w:rPr>
          <w:rFonts w:hint="eastAsia" w:ascii="Times New Roman" w:hAnsi="Times New Roman" w:eastAsia="仿宋" w:cs="CESI仿宋-GB2312"/>
          <w:sz w:val="32"/>
          <w:szCs w:val="32"/>
        </w:rPr>
        <w:t>‰</w:t>
      </w:r>
      <w:r>
        <w:rPr>
          <w:rFonts w:hint="eastAsia" w:ascii="Times New Roman" w:hAnsi="Times New Roman" w:eastAsia="仿宋" w:cs="CESI仿宋-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CESI仿宋-GB2312"/>
          <w:sz w:val="32"/>
          <w:szCs w:val="32"/>
        </w:rPr>
        <w:t>政策生育率全区为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98.69</w:t>
      </w:r>
      <w:r>
        <w:rPr>
          <w:rFonts w:hint="eastAsia" w:ascii="Times New Roman" w:hAnsi="Times New Roman" w:eastAsia="仿宋" w:cs="CESI仿宋-GB2312"/>
          <w:sz w:val="32"/>
          <w:szCs w:val="32"/>
        </w:rPr>
        <w:t>%，死亡率为5.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01</w:t>
      </w:r>
      <w:r>
        <w:rPr>
          <w:rFonts w:hint="eastAsia" w:ascii="Times New Roman" w:hAnsi="Times New Roman" w:eastAsia="仿宋" w:cs="CESI仿宋-GB2312"/>
          <w:sz w:val="32"/>
          <w:szCs w:val="32"/>
        </w:rPr>
        <w:t>‰，自然增长率为</w:t>
      </w:r>
      <w:r>
        <w:rPr>
          <w:rFonts w:hint="eastAsia" w:ascii="Times New Roman" w:hAnsi="Times New Roman" w:eastAsia="仿宋" w:cs="CESI仿宋-GB2312"/>
          <w:sz w:val="32"/>
          <w:szCs w:val="32"/>
          <w:lang w:val="en-US" w:eastAsia="zh-CN"/>
        </w:rPr>
        <w:t>5.41</w:t>
      </w:r>
      <w:r>
        <w:rPr>
          <w:rFonts w:hint="eastAsia" w:ascii="Times New Roman" w:hAnsi="Times New Roman" w:eastAsia="仿宋" w:cs="CESI仿宋-GB2312"/>
          <w:sz w:val="32"/>
          <w:szCs w:val="32"/>
        </w:rPr>
        <w:t>‰。</w:t>
      </w:r>
    </w:p>
    <w:p w14:paraId="63154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年，龙湖区全体居民人均可支配收入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50398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元，增长3.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%，其中，城镇居民人均可支配收入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50398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元，增长3.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。</w:t>
      </w:r>
    </w:p>
    <w:p w14:paraId="2D68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  <w:lang w:val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zh-CN"/>
        </w:rPr>
        <w:t>我区202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sz w:val="32"/>
          <w:szCs w:val="32"/>
          <w:lang w:val="zh-CN"/>
        </w:rPr>
        <w:t>年实现城镇新增就业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9781</w:t>
      </w:r>
      <w:r>
        <w:rPr>
          <w:rFonts w:hint="eastAsia" w:ascii="Times New Roman" w:hAnsi="Times New Roman" w:eastAsia="方正仿宋简体"/>
          <w:sz w:val="32"/>
          <w:szCs w:val="32"/>
          <w:lang w:val="zh-CN"/>
        </w:rPr>
        <w:t>人，城镇失业人员再就业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4026</w:t>
      </w:r>
      <w:r>
        <w:rPr>
          <w:rFonts w:hint="eastAsia" w:ascii="Times New Roman" w:hAnsi="Times New Roman" w:eastAsia="方正仿宋简体"/>
          <w:sz w:val="32"/>
          <w:szCs w:val="32"/>
          <w:lang w:val="zh-CN"/>
        </w:rPr>
        <w:t>人，就业困难人员实现就业2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简体"/>
          <w:sz w:val="32"/>
          <w:szCs w:val="32"/>
          <w:lang w:val="zh-CN"/>
        </w:rPr>
        <w:t>人，促进创业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871</w:t>
      </w:r>
      <w:r>
        <w:rPr>
          <w:rFonts w:hint="eastAsia" w:ascii="Times New Roman" w:hAnsi="Times New Roman" w:eastAsia="方正仿宋简体"/>
          <w:sz w:val="32"/>
          <w:szCs w:val="32"/>
          <w:lang w:val="zh-CN"/>
        </w:rPr>
        <w:t>人，超额完成市下达的全年就业核心指标任务。</w:t>
      </w:r>
    </w:p>
    <w:p w14:paraId="47CA9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年龙湖区发生生产安全事故0起，同比减少48起，下降100%；死亡0人，同比减少11人，下降 100%；受伤0人，同比减少45人，下降100%。</w:t>
      </w:r>
    </w:p>
    <w:p w14:paraId="6F940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截至202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月底，龙湖区各险种参保人数分别为企业职工养老保险1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54192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人，机关事业单位养老保险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11444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人，城乡居民养老保险145328人，失业保险110884人，工伤保险166515人。各险种缴费人数为企业职工养老保险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123289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人，机关事业单位养老保险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7997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人，城乡居民养老保险46543人，失业保险110884人，工伤保险166515人。2024年龙湖区参加职工基本医疗保险总人数168061人， 其中灵活就业人数18663人，参加生育保险人数149398人。</w:t>
      </w:r>
    </w:p>
    <w:p w14:paraId="2B7E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社会救助工作方面。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城镇低保标准由867元/人月提高到872元/人月，农村低保标准由812元/人月提高到817元/人月，城镇特困人员基本生活标准由1388元/人月提高到1396元/人月，农村特困人员基本生活标准由1300元/人月提高到1308元/人月，龙湖区现有低保户1482户3042人，低保边缘家庭40户138人，特困人员41人，支出型困难家庭8户43人。累计发放低保金</w:t>
      </w:r>
      <w:r>
        <w:rPr>
          <w:rFonts w:hint="eastAsia" w:eastAsia="方正仿宋简体" w:cs="方正仿宋简体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253</w:t>
      </w:r>
      <w:r>
        <w:rPr>
          <w:rFonts w:hint="eastAsia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万元，发放特困人员供养金</w:t>
      </w:r>
      <w:r>
        <w:rPr>
          <w:rFonts w:hint="eastAsia" w:eastAsia="方正仿宋简体" w:cs="方正仿宋简体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68万元。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重度残疾人护理补贴提高到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270元/月，困难残疾人生活补贴提高到202元/月，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今年以来共对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万人次残疾人发放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二项补贴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169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万元。</w:t>
      </w:r>
    </w:p>
    <w:p w14:paraId="00EA5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/>
          <w:b/>
          <w:bCs/>
          <w:sz w:val="32"/>
          <w:szCs w:val="32"/>
        </w:rPr>
        <w:t>婚姻登记服务方面。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今年共办理结婚登记3023对，离婚登记申请967对，离婚登记754对，补领婚姻证134宗。其中异地业务结婚登记963对，离婚登记161对。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共对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112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对离婚登记申请人进行调解，成功劝和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对。</w:t>
      </w:r>
    </w:p>
    <w:p w14:paraId="4BD9F2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27"/>
          <w:rFonts w:hint="default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养老服务方面。</w:t>
      </w:r>
      <w:r>
        <w:rPr>
          <w:rFonts w:hint="eastAsia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持续深化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长者呼援服务，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将我区60周岁以上的计划生育家庭特别扶助对象纳入服务范围，将低保、特困老年人服务对象范围从70周岁以上降至60周岁以上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，提供24小时8大类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一站式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居家养老服务，</w:t>
      </w:r>
      <w:r>
        <w:rPr>
          <w:rStyle w:val="27"/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目前在线服务老年人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1.3万</w:t>
      </w:r>
      <w:r>
        <w:rPr>
          <w:rStyle w:val="27"/>
          <w:rFonts w:hint="eastAsia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多</w:t>
      </w:r>
      <w:r>
        <w:rPr>
          <w:rStyle w:val="27"/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人，惠及全区一万个家庭以上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，目前</w:t>
      </w:r>
      <w:r>
        <w:rPr>
          <w:rStyle w:val="27"/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已完成好事实事超过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2.4</w:t>
      </w:r>
      <w:r>
        <w:rPr>
          <w:rStyle w:val="27"/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万件，获得长者好评。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切实办好民生实事，全面推进各街道综合养老服务中心建设，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2024年新开放鸥汀街道1个街道综合养老服务中心。目前我区已建“长者饭堂”30家，今年以来服务长者8万多人次。</w:t>
      </w:r>
      <w:r>
        <w:rPr>
          <w:rStyle w:val="27"/>
          <w:rFonts w:hint="default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抓好居家养老服务社会化工作，累计发放居家养老服务费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10.8</w:t>
      </w:r>
      <w:r>
        <w:rPr>
          <w:rStyle w:val="27"/>
          <w:rFonts w:hint="default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万元。抓好老年人优待工作，累计发放百岁老人长寿保健金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153</w:t>
      </w:r>
      <w:r>
        <w:rPr>
          <w:rStyle w:val="27"/>
          <w:rFonts w:hint="default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人次，共</w:t>
      </w:r>
      <w:r>
        <w:rPr>
          <w:rStyle w:val="27"/>
          <w:rFonts w:hint="eastAsia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6.24</w:t>
      </w:r>
      <w:r>
        <w:rPr>
          <w:rStyle w:val="27"/>
          <w:rFonts w:hint="default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万元。</w:t>
      </w:r>
    </w:p>
    <w:p w14:paraId="2AE0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儿童福利和未成年人关爱保护工作方面。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着力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构建未成年人家庭保护、学校保护、社会保护、网络保护、政府保护、司法保护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六位一体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的未成年人保护工作体系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。启动金霞、龙祥、鸥汀、龙华、新溪街道未成年保护工作站（儿童友好之家）建设，推进街道未成年人保护工作站全覆盖。完善基层儿童工作队伍配备，目前全区10个街道各配备一名“乡镇儿童督导员”，125个村（居）各配备一名“村儿童主任”，开展儿童保障政策宣传和日常巡查工作，关爱帮扶困难家庭和流动人口家庭未成年子女。将散居孤儿基本生活费提标至1484元/月·人。</w:t>
      </w:r>
      <w:r>
        <w:rPr>
          <w:rFonts w:hint="eastAsia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事实无人抚养儿童基本生活补贴金325人次</w:t>
      </w:r>
      <w:r>
        <w:rPr>
          <w:rFonts w:hint="eastAsia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约3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3万元，困境儿童基本生活补助金891人次</w:t>
      </w:r>
      <w:r>
        <w:rPr>
          <w:rFonts w:hint="eastAsia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发放“福彩圆梦·孤儿助学工程”助学金36人次共3.6万元。</w:t>
      </w:r>
    </w:p>
    <w:p w14:paraId="3C44CE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殡葬改革工作方面。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2024年以来全区火化核实总数2741具，按综合火化率的统计方式，火化数与推算死亡数、死亡数、户口注销数的比率均达到100%。及时落实免除基本服务费，累计免除2558名城乡居民殡葬基本服务费用约267万元。</w:t>
      </w:r>
      <w:r>
        <w:rPr>
          <w:rFonts w:hint="default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完成全区78个行政村（涉农社区）红白理事会设立工作，健全村级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红白理事会建设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，深入推进移风易俗工作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3003E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推进双拥工作方面。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累计发放退伍军人优抚抚恤补助金约2465.7万元、驻区部队随军未就业家属生活补助约400万元、义务兵家庭和部分重点优抚对象优待金约780.2万元；接收安置符合政府安排工作退役士兵37人，发放困难企业军转干部生活补助金约612万元、自主就业退役士兵一次性补助金约428万元；开展驻区军警部队节日慰问活动赠品折计33万元；开展立功受奖送喜报活动，为33名立三等功现役军人家庭送喜报，并发放慰问金3.3万元。</w:t>
      </w:r>
    </w:p>
    <w:p w14:paraId="24866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社会组织工作方面。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截至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12月，分布在我区社会组织总量为329个，其中：社会团体73个、民办非企业单位256个，依法认定慈善组织3家，具有公开募捐资格2家。1-12月，依法办结注册成立社会组织10家，变更登记事项29宗、注销登记21家、换证100宗。积极探索社会组织党建新路子，引导规范社会组织健康有序发展，我区社会组织中已成立党组织56家，党员365人；其中归属社会组织党委直接管理党组织11个，党员63人。</w:t>
      </w:r>
    </w:p>
    <w:p w14:paraId="7084CDE8">
      <w:pPr>
        <w:pStyle w:val="20"/>
        <w:ind w:firstLine="640"/>
        <w:jc w:val="left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5F02833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注：</w:t>
      </w:r>
    </w:p>
    <w:p w14:paraId="7B090518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FF0000"/>
          <w:sz w:val="24"/>
          <w:highlight w:val="yellow"/>
          <w:lang w:eastAsia="zh-CN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1.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24"/>
          <w:highlight w:val="none"/>
        </w:rPr>
        <w:t>根据我国国民经济核算制度和第五次全国经济普查结果，2023年我区地区生产总值修订为</w:t>
      </w:r>
      <w:r>
        <w:rPr>
          <w:rFonts w:hint="eastAsia" w:ascii="Times New Roman" w:hAnsi="Times New Roman" w:eastAsia="方正仿宋简体" w:cs="Times New Roman"/>
          <w:color w:val="000000"/>
          <w:sz w:val="24"/>
          <w:highlight w:val="none"/>
          <w:lang w:val="en-US" w:eastAsia="zh-CN"/>
        </w:rPr>
        <w:t>686.45</w:t>
      </w:r>
      <w:r>
        <w:rPr>
          <w:rFonts w:hint="eastAsia" w:ascii="Times New Roman" w:hAnsi="Times New Roman" w:eastAsia="方正仿宋简体" w:cs="Times New Roman"/>
          <w:color w:val="000000"/>
          <w:sz w:val="24"/>
          <w:highlight w:val="none"/>
        </w:rPr>
        <w:t>亿元。</w:t>
      </w:r>
    </w:p>
    <w:p w14:paraId="334A4ED8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2.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24"/>
        </w:rPr>
        <w:t>公报中202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4</w:t>
      </w:r>
      <w:r>
        <w:rPr>
          <w:rFonts w:ascii="Times New Roman" w:hAnsi="Times New Roman" w:eastAsia="方正仿宋简体" w:cs="Times New Roman"/>
          <w:color w:val="000000"/>
          <w:sz w:val="24"/>
        </w:rPr>
        <w:t>年各项数据均为初步统计数，往年数据为年报数。</w:t>
      </w:r>
    </w:p>
    <w:p w14:paraId="17F48DCA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3.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24"/>
        </w:rPr>
        <w:t>公报中地区生产总值及各产业增加值、总产值均按现行价计算，增长速度按可比价格计算。</w:t>
      </w:r>
    </w:p>
    <w:p w14:paraId="67680480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4.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24"/>
        </w:rPr>
        <w:t>从2020年起，全区经济指标数据（除财政外）包含高新区东片区。</w:t>
      </w:r>
    </w:p>
    <w:p w14:paraId="1C04B874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规模以上工业统计口径为年主营业务收入2000万元及以上的工业单位。</w:t>
      </w:r>
    </w:p>
    <w:p w14:paraId="42EBADE2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固定资产投资项目统计口径为各种登记注册类型的法人单位、个体经营户、其他单位进行的计划总投资500万元及以上项目，不包括农户投资。</w:t>
      </w:r>
    </w:p>
    <w:p w14:paraId="1AECF85F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限额以上批发和零售业统计口径为：批发业企业年主营业务收入2000万元及以上；零售业企业年主营业务收入500万元及以上。</w:t>
      </w:r>
    </w:p>
    <w:p w14:paraId="200CDD7D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 xml:space="preserve">8. 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规模以上服务业范围包括：年营业收入2000万元及以上的交通运输、仓储和邮政业，信息传输、软件和信息技术服务业，水利、环境和公共设施管理业，卫生行业法人单位；年营业收入1000万元及以上的房地产业（不含房地产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24"/>
        </w:rPr>
        <w:t>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 w14:paraId="283524FA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</w:p>
    <w:p w14:paraId="30E70F8F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资料来源：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公报中城镇新增就业、登记失业率、社会保障等数据来自区人力资源和社会保障局；财政数据来自区财政局；对外经济贸易数据来自区商务局；社会保险基金收入和养老、工伤和失业参保人数由汕头市社会保险基金管理局龙湖分局提供；医疗保险及生育参保人数由汕头市医疗保障局龙湖分局提供；文化、体育、旅游数据来自区文化广电旅游体育局；户籍数据来自汕头市公安局龙湖分局；医疗卫生、出生人口、出生率及自然增长率数据来自区卫生健康局；基本民生保障情况来自区民政局；教育数据来自区教育局；科技数据来自区工信局；专利数据来自区市场监管局；优抚安置和双拥数据来自区退役军人事务局；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eastAsia="zh-CN"/>
        </w:rPr>
        <w:t>安全生产数据来自区应急管理局；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其他数据来自区统计局。</w:t>
      </w:r>
    </w:p>
    <w:p w14:paraId="553875B6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6667">
    <w:pPr>
      <w:pStyle w:val="8"/>
      <w:ind w:right="21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C92AE">
    <w:pPr>
      <w:pStyle w:val="8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B74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55B86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5216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8B14A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WJkYTU3NmE2MTJhNGFiNGUzZWYyZTE4M2FlMTkifQ=="/>
    <w:docVar w:name="KSO_WPS_MARK_KEY" w:val="3c3de82b-ed8a-4ff4-85e0-6b2c69b422a9"/>
  </w:docVars>
  <w:rsids>
    <w:rsidRoot w:val="00172A27"/>
    <w:rsid w:val="000434E2"/>
    <w:rsid w:val="000A6DE3"/>
    <w:rsid w:val="000D5B09"/>
    <w:rsid w:val="001046A4"/>
    <w:rsid w:val="00172A27"/>
    <w:rsid w:val="001C7951"/>
    <w:rsid w:val="00277907"/>
    <w:rsid w:val="003E3571"/>
    <w:rsid w:val="00537EC9"/>
    <w:rsid w:val="0062149E"/>
    <w:rsid w:val="00652BA5"/>
    <w:rsid w:val="007B715F"/>
    <w:rsid w:val="00841570"/>
    <w:rsid w:val="008C507A"/>
    <w:rsid w:val="008D5449"/>
    <w:rsid w:val="008D6FD3"/>
    <w:rsid w:val="00931E2D"/>
    <w:rsid w:val="00994D47"/>
    <w:rsid w:val="00AF20A2"/>
    <w:rsid w:val="00B3223C"/>
    <w:rsid w:val="00B675C9"/>
    <w:rsid w:val="00BD49D4"/>
    <w:rsid w:val="00C204E7"/>
    <w:rsid w:val="00D521A6"/>
    <w:rsid w:val="00D944C7"/>
    <w:rsid w:val="00DA36C7"/>
    <w:rsid w:val="00EA4405"/>
    <w:rsid w:val="00F47597"/>
    <w:rsid w:val="01774331"/>
    <w:rsid w:val="02635FD6"/>
    <w:rsid w:val="06172009"/>
    <w:rsid w:val="07D05741"/>
    <w:rsid w:val="08E2116B"/>
    <w:rsid w:val="0A1D15D8"/>
    <w:rsid w:val="0A9A5D0D"/>
    <w:rsid w:val="0ADE6C7B"/>
    <w:rsid w:val="0AE234BF"/>
    <w:rsid w:val="0B665EB8"/>
    <w:rsid w:val="0BAE0D4C"/>
    <w:rsid w:val="0C016A05"/>
    <w:rsid w:val="0C19531E"/>
    <w:rsid w:val="0C1D5BE4"/>
    <w:rsid w:val="112E774A"/>
    <w:rsid w:val="14B7274B"/>
    <w:rsid w:val="16524D10"/>
    <w:rsid w:val="1C5728CD"/>
    <w:rsid w:val="1C961453"/>
    <w:rsid w:val="1CDE6641"/>
    <w:rsid w:val="1DA8492F"/>
    <w:rsid w:val="1DB218DC"/>
    <w:rsid w:val="1DCA746B"/>
    <w:rsid w:val="23BF50B1"/>
    <w:rsid w:val="2622231D"/>
    <w:rsid w:val="26C66366"/>
    <w:rsid w:val="275C2E52"/>
    <w:rsid w:val="27DF06C0"/>
    <w:rsid w:val="2A420B6A"/>
    <w:rsid w:val="2BF02509"/>
    <w:rsid w:val="2D8F2A70"/>
    <w:rsid w:val="2DCB3029"/>
    <w:rsid w:val="31432B68"/>
    <w:rsid w:val="34132346"/>
    <w:rsid w:val="349F39EF"/>
    <w:rsid w:val="35607543"/>
    <w:rsid w:val="3717241C"/>
    <w:rsid w:val="3843230B"/>
    <w:rsid w:val="390D7261"/>
    <w:rsid w:val="39A110A3"/>
    <w:rsid w:val="3B5A439C"/>
    <w:rsid w:val="3FB96AA5"/>
    <w:rsid w:val="40722CC7"/>
    <w:rsid w:val="40C369F2"/>
    <w:rsid w:val="411A75A9"/>
    <w:rsid w:val="44E0231D"/>
    <w:rsid w:val="472F42DE"/>
    <w:rsid w:val="47380AD5"/>
    <w:rsid w:val="478D2B07"/>
    <w:rsid w:val="48741329"/>
    <w:rsid w:val="48E67278"/>
    <w:rsid w:val="497E3B44"/>
    <w:rsid w:val="4BDF1120"/>
    <w:rsid w:val="4E916CE0"/>
    <w:rsid w:val="4EBD5DEA"/>
    <w:rsid w:val="53A930A5"/>
    <w:rsid w:val="563F7B07"/>
    <w:rsid w:val="56F53B27"/>
    <w:rsid w:val="59784B0A"/>
    <w:rsid w:val="59FD53C2"/>
    <w:rsid w:val="5A9A02EE"/>
    <w:rsid w:val="5AE90737"/>
    <w:rsid w:val="5BB57237"/>
    <w:rsid w:val="5C921539"/>
    <w:rsid w:val="5DF837D5"/>
    <w:rsid w:val="6059772E"/>
    <w:rsid w:val="62412C56"/>
    <w:rsid w:val="645C5CF2"/>
    <w:rsid w:val="6554277E"/>
    <w:rsid w:val="65BE2B7F"/>
    <w:rsid w:val="65E741F0"/>
    <w:rsid w:val="66366FFF"/>
    <w:rsid w:val="67217E22"/>
    <w:rsid w:val="67DE40F4"/>
    <w:rsid w:val="6C1921B9"/>
    <w:rsid w:val="6CAD6B2F"/>
    <w:rsid w:val="6D262ED3"/>
    <w:rsid w:val="6D4326F8"/>
    <w:rsid w:val="6DAA36C5"/>
    <w:rsid w:val="6DC36314"/>
    <w:rsid w:val="6E117C70"/>
    <w:rsid w:val="6E2E109E"/>
    <w:rsid w:val="70573A48"/>
    <w:rsid w:val="74332A4D"/>
    <w:rsid w:val="76686D97"/>
    <w:rsid w:val="78A265FE"/>
    <w:rsid w:val="7A0216FE"/>
    <w:rsid w:val="7B741C44"/>
    <w:rsid w:val="7BF669F1"/>
    <w:rsid w:val="7C1B7990"/>
    <w:rsid w:val="7E3111DC"/>
    <w:rsid w:val="7FC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88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 w:val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1"/>
    <w:next w:val="1"/>
    <w:unhideWhenUsed/>
    <w:qFormat/>
    <w:uiPriority w:val="99"/>
    <w:pPr>
      <w:spacing w:line="560" w:lineRule="exact"/>
      <w:ind w:firstLine="420" w:firstLineChars="200"/>
    </w:pPr>
    <w:rPr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">
    <w:name w:val="大标题"/>
    <w:basedOn w:val="1"/>
    <w:qFormat/>
    <w:uiPriority w:val="0"/>
    <w:pPr>
      <w:tabs>
        <w:tab w:val="left" w:pos="9000"/>
      </w:tabs>
      <w:spacing w:line="700" w:lineRule="exact"/>
      <w:jc w:val="center"/>
      <w:outlineLvl w:val="0"/>
    </w:pPr>
    <w:rPr>
      <w:rFonts w:ascii="方正小标宋简体" w:hAnsi="华文中宋" w:eastAsia="方正小标宋简体"/>
      <w:sz w:val="44"/>
      <w:szCs w:val="44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创艺简仿宋"/>
      <w:color w:val="000000"/>
      <w:sz w:val="28"/>
      <w:szCs w:val="20"/>
    </w:rPr>
  </w:style>
  <w:style w:type="paragraph" w:customStyle="1" w:styleId="19">
    <w:name w:val="纯文本1"/>
    <w:basedOn w:val="1"/>
    <w:link w:val="22"/>
    <w:qFormat/>
    <w:uiPriority w:val="0"/>
    <w:rPr>
      <w:rFonts w:ascii="宋体" w:hAnsi="Courier New" w:cs="Courier New"/>
      <w:szCs w:val="21"/>
    </w:rPr>
  </w:style>
  <w:style w:type="paragraph" w:customStyle="1" w:styleId="20">
    <w:name w:val="纯文本1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1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2">
    <w:name w:val="纯文本 Char"/>
    <w:link w:val="1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24">
    <w:name w:val="页码1"/>
    <w:basedOn w:val="13"/>
    <w:qFormat/>
    <w:uiPriority w:val="0"/>
  </w:style>
  <w:style w:type="paragraph" w:customStyle="1" w:styleId="25">
    <w:name w:val="纯文本2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26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hart" Target="charts/chart2.xml"/><Relationship Id="rId11" Type="http://schemas.openxmlformats.org/officeDocument/2006/relationships/image" Target="media/image1.png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\Desktop\24&#20844;&#25253;&#22270;&#29255;&#21046;&#20316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&#26472;&#20234;&#28800;\&#32463;&#27982;&#32929;\&#24180;&#37492;&#12289;&#20844;&#25253;\2024&#24180;&#20844;&#25253;-&#23450;&#25253;&#25968;&#25454;\2024&#24180;&#20844;&#25253;&#22270;&#292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2024</a:t>
            </a:r>
            <a:r>
              <a:rPr altLang="en-US"/>
              <a:t>年规模以上工业主要产业产值情况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432171478227286"/>
          <c:y val="0.140845070422535"/>
          <c:w val="0.883151491744714"/>
          <c:h val="0.684900802665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[24公报图片制作.xlsx]Sheet1!$B$1</c:f>
              <c:strCache>
                <c:ptCount val="1"/>
                <c:pt idx="0">
                  <c:v>本月累计（亿元）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.00144829583856329"/>
                  <c:y val="-0.0567923671058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435724570766056"/>
                  <c:y val="0.010364338601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34488751568987"/>
                  <c:y val="-0.054520672421626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36342480364588"/>
                  <c:y val="-0.0567107750472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[24公报图片制作.xlsx]Sheet1!$A$2:$A$8</c:f>
              <c:strCache>
                <c:ptCount val="7"/>
                <c:pt idx="0">
                  <c:v>纺织服装</c:v>
                </c:pt>
                <c:pt idx="1">
                  <c:v>生物医药</c:v>
                </c:pt>
                <c:pt idx="2">
                  <c:v>化工塑料</c:v>
                </c:pt>
                <c:pt idx="3">
                  <c:v>输配电</c:v>
                </c:pt>
                <c:pt idx="4">
                  <c:v>现代机械装备</c:v>
                </c:pt>
                <c:pt idx="5">
                  <c:v>电子信息</c:v>
                </c:pt>
                <c:pt idx="6">
                  <c:v>食品饮料</c:v>
                </c:pt>
              </c:strCache>
            </c:strRef>
          </c:cat>
          <c:val>
            <c:numRef>
              <c:f>[24公报图片制作.xlsx]Sheet1!$B$2:$B$8</c:f>
              <c:numCache>
                <c:formatCode>General</c:formatCode>
                <c:ptCount val="7"/>
                <c:pt idx="0">
                  <c:v>34.66</c:v>
                </c:pt>
                <c:pt idx="1">
                  <c:v>27.28</c:v>
                </c:pt>
                <c:pt idx="2">
                  <c:v>45.26</c:v>
                </c:pt>
                <c:pt idx="3">
                  <c:v>40.89</c:v>
                </c:pt>
                <c:pt idx="4">
                  <c:v>24.78</c:v>
                </c:pt>
                <c:pt idx="5">
                  <c:v>84.45</c:v>
                </c:pt>
                <c:pt idx="6">
                  <c:v>62.82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8373446"/>
        <c:axId val="46236184"/>
      </c:barChart>
      <c:lineChart>
        <c:grouping val="standard"/>
        <c:varyColors val="0"/>
        <c:ser>
          <c:idx val="1"/>
          <c:order val="1"/>
          <c:tx>
            <c:strRef>
              <c:f>[24公报图片制作.xlsx]Sheet1!$C$1</c:f>
              <c:strCache>
                <c:ptCount val="1"/>
                <c:pt idx="0">
                  <c:v>增速（%）
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.00579318335425316"/>
                  <c:y val="0.02044525215810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20169858480258"/>
                  <c:y val="0.03888291024272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45447493454863"/>
                  <c:y val="0.004725897920604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[24公报图片制作.xlsx]Sheet1!$A$2:$A$8</c:f>
              <c:strCache>
                <c:ptCount val="7"/>
                <c:pt idx="0">
                  <c:v>纺织服装</c:v>
                </c:pt>
                <c:pt idx="1">
                  <c:v>生物医药</c:v>
                </c:pt>
                <c:pt idx="2">
                  <c:v>化工塑料</c:v>
                </c:pt>
                <c:pt idx="3">
                  <c:v>输配电</c:v>
                </c:pt>
                <c:pt idx="4">
                  <c:v>现代机械装备</c:v>
                </c:pt>
                <c:pt idx="5">
                  <c:v>电子信息</c:v>
                </c:pt>
                <c:pt idx="6">
                  <c:v>食品饮料</c:v>
                </c:pt>
              </c:strCache>
            </c:strRef>
          </c:cat>
          <c:val>
            <c:numRef>
              <c:f>[24公报图片制作.xlsx]Sheet1!$C$2:$C$8</c:f>
              <c:numCache>
                <c:formatCode>General</c:formatCode>
                <c:ptCount val="7"/>
                <c:pt idx="0">
                  <c:v>-39.6</c:v>
                </c:pt>
                <c:pt idx="1">
                  <c:v>-24.5</c:v>
                </c:pt>
                <c:pt idx="2">
                  <c:v>-20.3</c:v>
                </c:pt>
                <c:pt idx="3">
                  <c:v>-15.3</c:v>
                </c:pt>
                <c:pt idx="4">
                  <c:v>-38.7</c:v>
                </c:pt>
                <c:pt idx="5">
                  <c:v>15.9</c:v>
                </c:pt>
                <c:pt idx="6">
                  <c:v>-16.9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48825269"/>
        <c:axId val="130322883"/>
      </c:lineChart>
      <c:catAx>
        <c:axId val="6083734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36184"/>
        <c:crosses val="autoZero"/>
        <c:auto val="1"/>
        <c:lblAlgn val="ctr"/>
        <c:lblOffset val="100"/>
        <c:noMultiLvlLbl val="0"/>
      </c:catAx>
      <c:valAx>
        <c:axId val="4623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8373446"/>
        <c:crosses val="autoZero"/>
        <c:crossBetween val="between"/>
      </c:valAx>
      <c:catAx>
        <c:axId val="648825269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0322883"/>
        <c:crosses val="autoZero"/>
        <c:auto val="1"/>
        <c:lblAlgn val="ctr"/>
        <c:lblOffset val="100"/>
        <c:noMultiLvlLbl val="0"/>
      </c:catAx>
      <c:valAx>
        <c:axId val="130322883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882526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altLang="en-US">
                <a:solidFill>
                  <a:schemeClr val="tx1"/>
                </a:solidFill>
              </a:rPr>
              <a:t>图   </a:t>
            </a:r>
            <a:r>
              <a:rPr lang="en-US" altLang="zh-CN">
                <a:solidFill>
                  <a:schemeClr val="tx1"/>
                </a:solidFill>
              </a:rPr>
              <a:t>2024</a:t>
            </a:r>
            <a:r>
              <a:rPr altLang="en-US">
                <a:solidFill>
                  <a:schemeClr val="tx1"/>
                </a:solidFill>
              </a:rPr>
              <a:t>年限额以上批发零售业主要行业数据情况</a:t>
            </a:r>
            <a:endParaRPr altLang="en-US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0554331447635402"/>
          <c:y val="0.027502879546225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82463253928028"/>
          <c:y val="0.130208333333333"/>
          <c:w val="0.696968692736559"/>
          <c:h val="0.3676041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[2024年公报图片.xlsx]Sheet3!$P$4</c:f>
              <c:strCache>
                <c:ptCount val="1"/>
                <c:pt idx="0">
                  <c:v>全年销售额（亿元）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[2024年公报图片.xlsx]Sheet3!$O$5:$O$11</c:f>
              <c:strCache>
                <c:ptCount val="7"/>
                <c:pt idx="0">
                  <c:v>矿产品、建材及化工产品批发</c:v>
                </c:pt>
                <c:pt idx="1">
                  <c:v>医药及医疗器材批发</c:v>
                </c:pt>
                <c:pt idx="2">
                  <c:v>食品、饮料及烟草制品批发</c:v>
                </c:pt>
                <c:pt idx="3">
                  <c:v>机械设备、五金产品及电子产品批发</c:v>
                </c:pt>
                <c:pt idx="4">
                  <c:v>汽车、摩托车、零配件和燃料及其他动力销售</c:v>
                </c:pt>
                <c:pt idx="5">
                  <c:v>文化、体育用品及器材批发</c:v>
                </c:pt>
                <c:pt idx="6">
                  <c:v>纺织、服装及家庭用品批发</c:v>
                </c:pt>
              </c:strCache>
            </c:strRef>
          </c:cat>
          <c:val>
            <c:numRef>
              <c:f>[2024年公报图片.xlsx]Sheet3!$P$5:$P$11</c:f>
              <c:numCache>
                <c:formatCode>0.00_ </c:formatCode>
                <c:ptCount val="7"/>
                <c:pt idx="0">
                  <c:v>456.365</c:v>
                </c:pt>
                <c:pt idx="1">
                  <c:v>171.19591</c:v>
                </c:pt>
                <c:pt idx="2">
                  <c:v>141.67364</c:v>
                </c:pt>
                <c:pt idx="3">
                  <c:v>126.77125</c:v>
                </c:pt>
                <c:pt idx="4">
                  <c:v>126.14501</c:v>
                </c:pt>
                <c:pt idx="5">
                  <c:v>66.00244</c:v>
                </c:pt>
                <c:pt idx="6">
                  <c:v>20.55875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overlap val="-69"/>
        <c:axId val="827361130"/>
        <c:axId val="540343577"/>
      </c:barChart>
      <c:lineChart>
        <c:grouping val="standard"/>
        <c:varyColors val="0"/>
        <c:ser>
          <c:idx val="1"/>
          <c:order val="1"/>
          <c:tx>
            <c:strRef>
              <c:f>[2024年公报图片.xlsx]Sheet3!$Q$4</c:f>
              <c:strCache>
                <c:ptCount val="1"/>
                <c:pt idx="0">
                  <c:v>全年增速</c:v>
                </c:pt>
              </c:strCache>
            </c:strRef>
          </c:tx>
          <c:spPr>
            <a:ln w="19050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[2024年公报图片.xlsx]Sheet3!$O$5:$O$11</c:f>
              <c:strCache>
                <c:ptCount val="7"/>
                <c:pt idx="0">
                  <c:v>矿产品、建材及化工产品批发</c:v>
                </c:pt>
                <c:pt idx="1">
                  <c:v>医药及医疗器材批发</c:v>
                </c:pt>
                <c:pt idx="2">
                  <c:v>食品、饮料及烟草制品批发</c:v>
                </c:pt>
                <c:pt idx="3">
                  <c:v>机械设备、五金产品及电子产品批发</c:v>
                </c:pt>
                <c:pt idx="4">
                  <c:v>汽车、摩托车、零配件和燃料及其他动力销售</c:v>
                </c:pt>
                <c:pt idx="5">
                  <c:v>文化、体育用品及器材批发</c:v>
                </c:pt>
                <c:pt idx="6">
                  <c:v>纺织、服装及家庭用品批发</c:v>
                </c:pt>
              </c:strCache>
            </c:strRef>
          </c:cat>
          <c:val>
            <c:numRef>
              <c:f>[2024年公报图片.xlsx]Sheet3!$Q$5:$Q$11</c:f>
              <c:numCache>
                <c:formatCode>0.0%</c:formatCode>
                <c:ptCount val="7"/>
                <c:pt idx="0">
                  <c:v>0.255161815665351</c:v>
                </c:pt>
                <c:pt idx="1">
                  <c:v>0.0162068082496596</c:v>
                </c:pt>
                <c:pt idx="2">
                  <c:v>-0.00191228889370464</c:v>
                </c:pt>
                <c:pt idx="3">
                  <c:v>-0.0926164169459818</c:v>
                </c:pt>
                <c:pt idx="4">
                  <c:v>-0.0687601824933129</c:v>
                </c:pt>
                <c:pt idx="5">
                  <c:v>0.239214817457263</c:v>
                </c:pt>
                <c:pt idx="6">
                  <c:v>-0.041882889159709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7001804"/>
        <c:axId val="604860037"/>
      </c:lineChart>
      <c:catAx>
        <c:axId val="8273611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eaVert" wrap="square" anchor="ctr" anchorCtr="0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40343577"/>
        <c:crosses val="autoZero"/>
        <c:auto val="1"/>
        <c:lblAlgn val="ctr"/>
        <c:lblOffset val="100"/>
        <c:noMultiLvlLbl val="0"/>
      </c:catAx>
      <c:valAx>
        <c:axId val="5403435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</a:p>
        </c:txPr>
        <c:crossAx val="827361130"/>
        <c:crosses val="autoZero"/>
        <c:crossBetween val="between"/>
      </c:valAx>
      <c:catAx>
        <c:axId val="25700180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4860037"/>
        <c:crosses val="autoZero"/>
        <c:auto val="1"/>
        <c:lblAlgn val="ctr"/>
        <c:lblOffset val="100"/>
        <c:noMultiLvlLbl val="0"/>
      </c:catAx>
      <c:valAx>
        <c:axId val="604860037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</a:p>
        </c:txPr>
        <c:crossAx val="25700180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554604655308384"/>
          <c:y val="0.89776007344914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5400000" vert="horz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5520</Words>
  <Characters>6540</Characters>
  <Lines>44</Lines>
  <Paragraphs>12</Paragraphs>
  <TotalTime>62</TotalTime>
  <ScaleCrop>false</ScaleCrop>
  <LinksUpToDate>false</LinksUpToDate>
  <CharactersWithSpaces>6602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2018-04-18T04:03:00Z</dcterms:created>
  <dc:creator>微软用户</dc:creator>
  <cp:lastModifiedBy>user</cp:lastModifiedBy>
  <cp:lastPrinted>2025-05-14T08:16:00Z</cp:lastPrinted>
  <dcterms:modified xsi:type="dcterms:W3CDTF">2025-05-21T09:00:54Z</dcterms:modified>
  <dc:title>user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5D4853B3FCA74A479BD36CC1666A0512_13</vt:lpwstr>
  </property>
</Properties>
</file>