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CEC687">
      <w:pPr>
        <w:widowControl/>
        <w:jc w:val="left"/>
        <w:rPr>
          <w:rFonts w:ascii="仿宋_GB2312" w:hAnsi="宋体" w:eastAsia="仿宋_GB2312"/>
          <w:sz w:val="32"/>
          <w:szCs w:val="32"/>
        </w:rPr>
      </w:pPr>
    </w:p>
    <w:p w14:paraId="73559B09">
      <w:pPr>
        <w:pStyle w:val="19"/>
        <w:jc w:val="center"/>
        <w:rPr>
          <w:rFonts w:ascii="方正小标宋简体" w:hAnsi="宋体" w:eastAsia="方正小标宋简体"/>
          <w:color w:val="000000"/>
          <w:sz w:val="44"/>
          <w:szCs w:val="40"/>
        </w:rPr>
      </w:pPr>
      <w:r>
        <w:rPr>
          <w:rFonts w:hint="default" w:ascii="Nimbus Roman" w:hAnsi="Nimbus Roman" w:eastAsia="方正小标宋简体" w:cs="Nimbus Roman"/>
          <w:color w:val="000000"/>
          <w:sz w:val="44"/>
          <w:szCs w:val="40"/>
        </w:rPr>
        <w:t>202</w:t>
      </w:r>
      <w:r>
        <w:rPr>
          <w:rFonts w:hint="default" w:ascii="Nimbus Roman" w:hAnsi="Nimbus Roman" w:eastAsia="方正小标宋简体" w:cs="Nimbus Roman"/>
          <w:color w:val="000000"/>
          <w:sz w:val="44"/>
          <w:szCs w:val="40"/>
          <w:lang w:val="en-US" w:eastAsia="zh-CN"/>
        </w:rPr>
        <w:t>5</w:t>
      </w:r>
      <w:r>
        <w:rPr>
          <w:rFonts w:hint="eastAsia" w:ascii="方正小标宋简体" w:hAnsi="宋体" w:eastAsia="方正小标宋简体"/>
          <w:color w:val="000000"/>
          <w:sz w:val="44"/>
          <w:szCs w:val="40"/>
        </w:rPr>
        <w:t>年龙湖区国民经济和社会发展统计公报</w:t>
      </w:r>
    </w:p>
    <w:p w14:paraId="4A6433CC">
      <w:pPr>
        <w:pStyle w:val="19"/>
        <w:jc w:val="center"/>
        <w:rPr>
          <w:rFonts w:ascii="方正楷体简体" w:hAnsi="楷体" w:eastAsia="方正楷体简体"/>
          <w:color w:val="000000"/>
          <w:sz w:val="32"/>
          <w:szCs w:val="32"/>
        </w:rPr>
      </w:pPr>
    </w:p>
    <w:p w14:paraId="5E47B698">
      <w:pPr>
        <w:pStyle w:val="19"/>
        <w:jc w:val="center"/>
        <w:rPr>
          <w:rFonts w:hint="eastAsia" w:ascii="方正楷体简体" w:hAnsi="楷体" w:eastAsia="方正楷体简体" w:cs="楷体"/>
          <w:color w:val="000000"/>
          <w:sz w:val="32"/>
          <w:szCs w:val="32"/>
        </w:rPr>
      </w:pPr>
      <w:r>
        <w:rPr>
          <w:rFonts w:hint="eastAsia" w:ascii="方正楷体简体" w:hAnsi="楷体" w:eastAsia="方正楷体简体" w:cs="楷体"/>
          <w:color w:val="000000"/>
          <w:sz w:val="32"/>
          <w:szCs w:val="32"/>
        </w:rPr>
        <w:t>龙湖区统计局</w:t>
      </w:r>
    </w:p>
    <w:p w14:paraId="46153959">
      <w:pPr>
        <w:pStyle w:val="19"/>
        <w:jc w:val="center"/>
        <w:rPr>
          <w:rFonts w:hint="eastAsia" w:ascii="方正楷体简体" w:hAnsi="楷体" w:eastAsia="方正楷体简体" w:cs="楷体"/>
          <w:color w:val="000000"/>
          <w:sz w:val="32"/>
          <w:szCs w:val="32"/>
          <w:lang w:eastAsia="zh-CN"/>
        </w:rPr>
      </w:pPr>
      <w:r>
        <w:rPr>
          <w:rFonts w:hint="eastAsia" w:ascii="方正楷体简体" w:hAnsi="楷体" w:eastAsia="方正楷体简体" w:cs="楷体"/>
          <w:color w:val="000000"/>
          <w:sz w:val="32"/>
          <w:szCs w:val="32"/>
          <w:lang w:eastAsia="zh-CN"/>
        </w:rPr>
        <w:t>（</w:t>
      </w:r>
      <w:r>
        <w:rPr>
          <w:rFonts w:hint="default" w:ascii="Nimbus Roman" w:hAnsi="Nimbus Roman" w:eastAsia="方正楷体简体" w:cs="Nimbus Roman"/>
          <w:color w:val="000000"/>
          <w:sz w:val="32"/>
          <w:szCs w:val="32"/>
          <w:lang w:val="en-US" w:eastAsia="zh-CN"/>
        </w:rPr>
        <w:t>2026年</w:t>
      </w:r>
      <w:r>
        <w:rPr>
          <w:rFonts w:hint="eastAsia" w:ascii="Nimbus Roman" w:hAnsi="Nimbus Roman" w:eastAsia="方正楷体简体" w:cs="Nimbus Roman"/>
          <w:color w:val="000000"/>
          <w:sz w:val="32"/>
          <w:szCs w:val="32"/>
          <w:lang w:val="en-US" w:eastAsia="zh-CN"/>
        </w:rPr>
        <w:t>5</w:t>
      </w:r>
      <w:r>
        <w:rPr>
          <w:rFonts w:hint="default" w:ascii="Nimbus Roman" w:hAnsi="Nimbus Roman" w:eastAsia="方正楷体简体" w:cs="Nimbus Roman"/>
          <w:color w:val="000000"/>
          <w:sz w:val="32"/>
          <w:szCs w:val="32"/>
          <w:lang w:val="en-US" w:eastAsia="zh-CN"/>
        </w:rPr>
        <w:t>月</w:t>
      </w:r>
      <w:r>
        <w:rPr>
          <w:rFonts w:hint="eastAsia" w:ascii="方正楷体简体" w:hAnsi="楷体" w:eastAsia="方正楷体简体" w:cs="楷体"/>
          <w:color w:val="000000"/>
          <w:sz w:val="32"/>
          <w:szCs w:val="32"/>
          <w:lang w:val="en-US" w:eastAsia="zh-CN"/>
        </w:rPr>
        <w:t>）</w:t>
      </w:r>
    </w:p>
    <w:p w14:paraId="0872BE2B">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p>
    <w:p w14:paraId="27318330">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黑体简体" w:hAnsi="Times New Roman" w:eastAsia="方正黑体简体" w:cs="Times New Roman"/>
          <w:color w:val="000000"/>
          <w:sz w:val="32"/>
          <w:szCs w:val="32"/>
        </w:rPr>
      </w:pPr>
      <w:r>
        <w:rPr>
          <w:rFonts w:hint="eastAsia" w:ascii="方正黑体简体" w:hAnsi="Times New Roman" w:eastAsia="方正黑体简体" w:cs="Times New Roman"/>
          <w:color w:val="000000"/>
          <w:sz w:val="32"/>
          <w:szCs w:val="32"/>
        </w:rPr>
        <w:t>一、地区生产总值</w:t>
      </w:r>
    </w:p>
    <w:p w14:paraId="196B60C4">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简体" w:cs="Times New Roman"/>
          <w:color w:val="000000"/>
          <w:sz w:val="32"/>
          <w:szCs w:val="32"/>
        </w:rPr>
      </w:pPr>
    </w:p>
    <w:p w14:paraId="28125640">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Nimbus Roman" w:hAnsi="Nimbus Roman" w:eastAsia="方正仿宋简体" w:cs="Nimbus Roman"/>
          <w:color w:val="000000"/>
          <w:sz w:val="32"/>
          <w:szCs w:val="32"/>
          <w:highlight w:val="none"/>
          <w:lang w:val="en-US" w:eastAsia="zh-CN"/>
        </w:rPr>
      </w:pPr>
      <w:r>
        <w:rPr>
          <w:rFonts w:hint="default" w:ascii="Nimbus Roman" w:hAnsi="Nimbus Roman" w:eastAsia="方正仿宋简体" w:cs="Nimbus Roman"/>
          <w:color w:val="000000"/>
          <w:sz w:val="32"/>
          <w:szCs w:val="32"/>
          <w:highlight w:val="none"/>
          <w:lang w:val="en-US" w:eastAsia="zh-CN"/>
        </w:rPr>
        <w:t>根据汕头市地区生产总值统一核算结果，2025年，我区地区生产总值642.52亿元，按不变价格计算，同比增长0.3%。其中，第一产业增加值8.43亿元，同比增长4.4%；第二产业增加值133.27亿元，同比下降11.5%；第三产业增加值500.83亿元，同比增长4.2%。三次产业结构比重为1.31∶20.74∶77.95。人均地区生产总值97938元。</w:t>
      </w:r>
    </w:p>
    <w:p w14:paraId="020A5D79">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Times New Roman" w:hAnsi="Times New Roman" w:eastAsia="方正仿宋简体" w:cs="Times New Roman"/>
          <w:sz w:val="32"/>
          <w:szCs w:val="32"/>
        </w:rPr>
      </w:pPr>
    </w:p>
    <w:p w14:paraId="539B5F17">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表  </w:t>
      </w:r>
      <w:r>
        <w:rPr>
          <w:rFonts w:hint="default" w:ascii="Nimbus Roman" w:hAnsi="Nimbus Roman" w:eastAsia="方正仿宋简体" w:cs="Nimbus Roman"/>
          <w:sz w:val="32"/>
          <w:szCs w:val="32"/>
        </w:rPr>
        <w:t>202</w:t>
      </w:r>
      <w:r>
        <w:rPr>
          <w:rFonts w:hint="default" w:ascii="Nimbus Roman" w:hAnsi="Nimbus Roman" w:eastAsia="方正仿宋简体" w:cs="Nimbus Roman"/>
          <w:sz w:val="32"/>
          <w:szCs w:val="32"/>
          <w:lang w:val="en-US" w:eastAsia="zh-CN"/>
        </w:rPr>
        <w:t>5</w:t>
      </w:r>
      <w:r>
        <w:rPr>
          <w:rFonts w:hint="default" w:ascii="Nimbus Roman" w:hAnsi="Nimbus Roman" w:eastAsia="方正仿宋简体" w:cs="Nimbus Roman"/>
          <w:sz w:val="32"/>
          <w:szCs w:val="32"/>
        </w:rPr>
        <w:t>年全区地区生产总值情况</w:t>
      </w:r>
    </w:p>
    <w:p w14:paraId="2173ECD4">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ascii="Times New Roman" w:hAnsi="Times New Roman" w:eastAsia="方正仿宋简体" w:cs="Times New Roman"/>
          <w:sz w:val="32"/>
          <w:szCs w:val="32"/>
        </w:rPr>
      </w:pPr>
    </w:p>
    <w:tbl>
      <w:tblPr>
        <w:tblStyle w:val="12"/>
        <w:tblW w:w="8708"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902"/>
        <w:gridCol w:w="2903"/>
        <w:gridCol w:w="2903"/>
      </w:tblGrid>
      <w:tr w14:paraId="0E0CB1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80" w:hRule="atLeast"/>
          <w:jc w:val="center"/>
        </w:trPr>
        <w:tc>
          <w:tcPr>
            <w:tcW w:w="2902" w:type="dxa"/>
            <w:tcBorders>
              <w:bottom w:val="single" w:color="auto" w:sz="4" w:space="0"/>
            </w:tcBorders>
            <w:vAlign w:val="top"/>
          </w:tcPr>
          <w:p w14:paraId="6E55B93A">
            <w:pPr>
              <w:pStyle w:val="2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ascii="Times New Roman" w:hAnsi="Times New Roman" w:eastAsia="方正仿宋简体" w:cs="Times New Roman"/>
                <w:sz w:val="22"/>
                <w:szCs w:val="22"/>
              </w:rPr>
            </w:pPr>
            <w:r>
              <w:rPr>
                <w:rFonts w:ascii="Times New Roman" w:hAnsi="Times New Roman" w:eastAsia="方正仿宋简体" w:cs="Times New Roman"/>
                <w:sz w:val="22"/>
                <w:szCs w:val="22"/>
              </w:rPr>
              <w:t>指标</w:t>
            </w:r>
          </w:p>
        </w:tc>
        <w:tc>
          <w:tcPr>
            <w:tcW w:w="2903" w:type="dxa"/>
            <w:tcBorders>
              <w:bottom w:val="single" w:color="auto" w:sz="4" w:space="0"/>
            </w:tcBorders>
            <w:vAlign w:val="top"/>
          </w:tcPr>
          <w:p w14:paraId="5CF32C5E">
            <w:pPr>
              <w:pStyle w:val="2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ascii="Times New Roman" w:hAnsi="Times New Roman" w:eastAsia="方正仿宋简体" w:cs="Times New Roman"/>
                <w:sz w:val="22"/>
                <w:szCs w:val="22"/>
              </w:rPr>
            </w:pPr>
            <w:r>
              <w:rPr>
                <w:rFonts w:ascii="Times New Roman" w:hAnsi="Times New Roman" w:eastAsia="方正仿宋简体" w:cs="Times New Roman"/>
                <w:sz w:val="22"/>
                <w:szCs w:val="22"/>
              </w:rPr>
              <w:t>全年完成（亿元）</w:t>
            </w:r>
          </w:p>
        </w:tc>
        <w:tc>
          <w:tcPr>
            <w:tcW w:w="2903" w:type="dxa"/>
            <w:tcBorders>
              <w:bottom w:val="single" w:color="auto" w:sz="4" w:space="0"/>
            </w:tcBorders>
            <w:vAlign w:val="top"/>
          </w:tcPr>
          <w:p w14:paraId="10172EA5">
            <w:pPr>
              <w:pStyle w:val="2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ascii="Times New Roman" w:hAnsi="Times New Roman" w:eastAsia="方正仿宋简体" w:cs="Times New Roman"/>
                <w:sz w:val="22"/>
                <w:szCs w:val="22"/>
              </w:rPr>
            </w:pPr>
            <w:r>
              <w:rPr>
                <w:rFonts w:ascii="Times New Roman" w:hAnsi="Times New Roman" w:eastAsia="方正仿宋简体" w:cs="Times New Roman"/>
                <w:sz w:val="22"/>
                <w:szCs w:val="22"/>
              </w:rPr>
              <w:t>全年增速（%）</w:t>
            </w:r>
          </w:p>
        </w:tc>
      </w:tr>
      <w:tr w14:paraId="109CB8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tcBorders>
              <w:top w:val="single" w:color="auto" w:sz="4" w:space="0"/>
            </w:tcBorders>
            <w:vAlign w:val="center"/>
          </w:tcPr>
          <w:p w14:paraId="5F79CD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地区生产总值</w:t>
            </w:r>
          </w:p>
        </w:tc>
        <w:tc>
          <w:tcPr>
            <w:tcW w:w="2903" w:type="dxa"/>
            <w:tcBorders>
              <w:top w:val="single" w:color="auto" w:sz="4" w:space="0"/>
            </w:tcBorders>
            <w:vAlign w:val="center"/>
          </w:tcPr>
          <w:p w14:paraId="2A6747BD">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642.52</w:t>
            </w:r>
          </w:p>
        </w:tc>
        <w:tc>
          <w:tcPr>
            <w:tcW w:w="2903" w:type="dxa"/>
            <w:tcBorders>
              <w:top w:val="single" w:color="auto" w:sz="4" w:space="0"/>
            </w:tcBorders>
            <w:vAlign w:val="center"/>
          </w:tcPr>
          <w:p w14:paraId="5CD60F1B">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0.3</w:t>
            </w:r>
          </w:p>
        </w:tc>
      </w:tr>
      <w:tr w14:paraId="6D4E64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1175A4D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第一产业</w:t>
            </w:r>
          </w:p>
        </w:tc>
        <w:tc>
          <w:tcPr>
            <w:tcW w:w="2903" w:type="dxa"/>
            <w:vAlign w:val="center"/>
          </w:tcPr>
          <w:p w14:paraId="27DBFB2E">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8.43</w:t>
            </w:r>
          </w:p>
        </w:tc>
        <w:tc>
          <w:tcPr>
            <w:tcW w:w="2903" w:type="dxa"/>
            <w:vAlign w:val="center"/>
          </w:tcPr>
          <w:p w14:paraId="09C1F8F6">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4.4</w:t>
            </w:r>
          </w:p>
        </w:tc>
      </w:tr>
      <w:tr w14:paraId="47CA29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2CB2315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第二产业</w:t>
            </w:r>
          </w:p>
        </w:tc>
        <w:tc>
          <w:tcPr>
            <w:tcW w:w="2903" w:type="dxa"/>
            <w:vAlign w:val="center"/>
          </w:tcPr>
          <w:p w14:paraId="34B8C5C2">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133.27</w:t>
            </w:r>
          </w:p>
        </w:tc>
        <w:tc>
          <w:tcPr>
            <w:tcW w:w="2903" w:type="dxa"/>
            <w:vAlign w:val="center"/>
          </w:tcPr>
          <w:p w14:paraId="15287EA5">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11.5</w:t>
            </w:r>
          </w:p>
        </w:tc>
      </w:tr>
      <w:tr w14:paraId="1ECF42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51192016">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第三产业</w:t>
            </w:r>
          </w:p>
        </w:tc>
        <w:tc>
          <w:tcPr>
            <w:tcW w:w="2903" w:type="dxa"/>
            <w:vAlign w:val="center"/>
          </w:tcPr>
          <w:p w14:paraId="68B0839F">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500.83</w:t>
            </w:r>
          </w:p>
        </w:tc>
        <w:tc>
          <w:tcPr>
            <w:tcW w:w="2903" w:type="dxa"/>
            <w:vAlign w:val="center"/>
          </w:tcPr>
          <w:p w14:paraId="27A3AE70">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4.2</w:t>
            </w:r>
          </w:p>
        </w:tc>
      </w:tr>
      <w:tr w14:paraId="32CDD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3EDE3E1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按主要行业分：</w:t>
            </w:r>
          </w:p>
        </w:tc>
        <w:tc>
          <w:tcPr>
            <w:tcW w:w="2903" w:type="dxa"/>
            <w:vAlign w:val="center"/>
          </w:tcPr>
          <w:p w14:paraId="310AAFC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hint="default" w:ascii="Nimbus Roman" w:hAnsi="Nimbus Roman" w:eastAsia="方正仿宋简体" w:cs="Nimbus Roman"/>
                <w:sz w:val="22"/>
                <w:szCs w:val="22"/>
                <w:highlight w:val="none"/>
                <w:shd w:val="clear" w:color="auto" w:fill="auto"/>
              </w:rPr>
            </w:pPr>
          </w:p>
        </w:tc>
        <w:tc>
          <w:tcPr>
            <w:tcW w:w="2903" w:type="dxa"/>
            <w:vAlign w:val="center"/>
          </w:tcPr>
          <w:p w14:paraId="0AB99CB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hint="default" w:ascii="Nimbus Roman" w:hAnsi="Nimbus Roman" w:eastAsia="方正仿宋简体" w:cs="Nimbus Roman"/>
                <w:sz w:val="22"/>
                <w:szCs w:val="22"/>
                <w:highlight w:val="none"/>
                <w:shd w:val="clear" w:color="auto" w:fill="auto"/>
              </w:rPr>
            </w:pPr>
          </w:p>
        </w:tc>
      </w:tr>
      <w:tr w14:paraId="0620ED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CDDD43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outlineLvl w:val="9"/>
              <w:rPr>
                <w:rFonts w:eastAsia="方正仿宋简体"/>
                <w:sz w:val="22"/>
                <w:szCs w:val="22"/>
                <w:highlight w:val="none"/>
              </w:rPr>
            </w:pPr>
            <w:r>
              <w:rPr>
                <w:rFonts w:eastAsia="方正仿宋简体"/>
                <w:sz w:val="22"/>
                <w:szCs w:val="22"/>
                <w:highlight w:val="none"/>
              </w:rPr>
              <w:t xml:space="preserve">  农林牧渔业</w:t>
            </w:r>
          </w:p>
        </w:tc>
        <w:tc>
          <w:tcPr>
            <w:tcW w:w="2903" w:type="dxa"/>
            <w:vAlign w:val="center"/>
          </w:tcPr>
          <w:p w14:paraId="5AF491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 xml:space="preserve">10.24 </w:t>
            </w:r>
          </w:p>
        </w:tc>
        <w:tc>
          <w:tcPr>
            <w:tcW w:w="2903" w:type="dxa"/>
            <w:vAlign w:val="center"/>
          </w:tcPr>
          <w:p w14:paraId="61D162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cs="Nimbus Roman"/>
                <w:i w:val="0"/>
                <w:iCs w:val="0"/>
                <w:color w:val="000000"/>
                <w:kern w:val="0"/>
                <w:sz w:val="22"/>
                <w:szCs w:val="22"/>
                <w:highlight w:val="none"/>
                <w:u w:val="none"/>
                <w:shd w:val="clear" w:color="auto" w:fill="auto"/>
                <w:lang w:val="en-US" w:eastAsia="zh-CN" w:bidi="ar"/>
              </w:rPr>
              <w:t>4.4</w:t>
            </w:r>
          </w:p>
        </w:tc>
      </w:tr>
      <w:tr w14:paraId="2C7C5A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5769427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工业</w:t>
            </w:r>
          </w:p>
        </w:tc>
        <w:tc>
          <w:tcPr>
            <w:tcW w:w="2903" w:type="dxa"/>
            <w:vAlign w:val="center"/>
          </w:tcPr>
          <w:p w14:paraId="14AFDD26">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107.73</w:t>
            </w:r>
          </w:p>
        </w:tc>
        <w:tc>
          <w:tcPr>
            <w:tcW w:w="2903" w:type="dxa"/>
            <w:vAlign w:val="center"/>
          </w:tcPr>
          <w:p w14:paraId="75794E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cs="Nimbus Roman"/>
                <w:i w:val="0"/>
                <w:iCs w:val="0"/>
                <w:color w:val="000000"/>
                <w:kern w:val="0"/>
                <w:sz w:val="22"/>
                <w:szCs w:val="22"/>
                <w:highlight w:val="none"/>
                <w:u w:val="none"/>
                <w:shd w:val="clear" w:color="auto" w:fill="auto"/>
                <w:lang w:val="en-US" w:eastAsia="zh-CN" w:bidi="ar"/>
              </w:rPr>
              <w:t>-</w:t>
            </w:r>
            <w:r>
              <w:rPr>
                <w:rFonts w:hint="eastAsia" w:ascii="Nimbus Roman" w:hAnsi="Nimbus Roman"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cs="Nimbus Roman"/>
                <w:i w:val="0"/>
                <w:iCs w:val="0"/>
                <w:color w:val="000000"/>
                <w:kern w:val="0"/>
                <w:sz w:val="22"/>
                <w:szCs w:val="22"/>
                <w:highlight w:val="none"/>
                <w:u w:val="none"/>
                <w:shd w:val="clear" w:color="auto" w:fill="auto"/>
                <w:lang w:val="en-US" w:eastAsia="zh-CN" w:bidi="ar"/>
              </w:rPr>
              <w:t>0.8</w:t>
            </w:r>
          </w:p>
        </w:tc>
      </w:tr>
      <w:tr w14:paraId="34F912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E53DD2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建筑业</w:t>
            </w:r>
          </w:p>
        </w:tc>
        <w:tc>
          <w:tcPr>
            <w:tcW w:w="2903" w:type="dxa"/>
            <w:vAlign w:val="center"/>
          </w:tcPr>
          <w:p w14:paraId="3B924AB5">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26.14</w:t>
            </w:r>
          </w:p>
        </w:tc>
        <w:tc>
          <w:tcPr>
            <w:tcW w:w="2903" w:type="dxa"/>
            <w:vAlign w:val="center"/>
          </w:tcPr>
          <w:p w14:paraId="528ABDA7">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37.3</w:t>
            </w:r>
          </w:p>
        </w:tc>
      </w:tr>
      <w:tr w14:paraId="2AEC36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0D2F5F6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批发和零售业</w:t>
            </w:r>
          </w:p>
        </w:tc>
        <w:tc>
          <w:tcPr>
            <w:tcW w:w="2903" w:type="dxa"/>
            <w:vAlign w:val="center"/>
          </w:tcPr>
          <w:p w14:paraId="761302FD">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110.20</w:t>
            </w:r>
          </w:p>
        </w:tc>
        <w:tc>
          <w:tcPr>
            <w:tcW w:w="2903" w:type="dxa"/>
            <w:vAlign w:val="center"/>
          </w:tcPr>
          <w:p w14:paraId="65111860">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3.7</w:t>
            </w:r>
          </w:p>
        </w:tc>
      </w:tr>
      <w:tr w14:paraId="01497B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75891D7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交通运输、仓储和邮政业</w:t>
            </w:r>
          </w:p>
        </w:tc>
        <w:tc>
          <w:tcPr>
            <w:tcW w:w="2903" w:type="dxa"/>
            <w:vAlign w:val="center"/>
          </w:tcPr>
          <w:p w14:paraId="15B7B0F2">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28.10</w:t>
            </w:r>
          </w:p>
        </w:tc>
        <w:tc>
          <w:tcPr>
            <w:tcW w:w="2903" w:type="dxa"/>
            <w:vAlign w:val="center"/>
          </w:tcPr>
          <w:p w14:paraId="0CF193C9">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9.5</w:t>
            </w:r>
          </w:p>
        </w:tc>
      </w:tr>
      <w:tr w14:paraId="59A866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4BC10E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住宿和餐饮业</w:t>
            </w:r>
          </w:p>
        </w:tc>
        <w:tc>
          <w:tcPr>
            <w:tcW w:w="2903" w:type="dxa"/>
            <w:vAlign w:val="center"/>
          </w:tcPr>
          <w:p w14:paraId="3A6FB08C">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15.17</w:t>
            </w:r>
          </w:p>
        </w:tc>
        <w:tc>
          <w:tcPr>
            <w:tcW w:w="2903" w:type="dxa"/>
            <w:vAlign w:val="center"/>
          </w:tcPr>
          <w:p w14:paraId="24132BFA">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2.4</w:t>
            </w:r>
          </w:p>
        </w:tc>
      </w:tr>
      <w:tr w14:paraId="429364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10F601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金融业</w:t>
            </w:r>
          </w:p>
        </w:tc>
        <w:tc>
          <w:tcPr>
            <w:tcW w:w="2903" w:type="dxa"/>
            <w:vAlign w:val="center"/>
          </w:tcPr>
          <w:p w14:paraId="034445CF">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74.23</w:t>
            </w:r>
          </w:p>
        </w:tc>
        <w:tc>
          <w:tcPr>
            <w:tcW w:w="2903" w:type="dxa"/>
            <w:vAlign w:val="center"/>
          </w:tcPr>
          <w:p w14:paraId="17B67B0D">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14.5</w:t>
            </w:r>
          </w:p>
        </w:tc>
      </w:tr>
      <w:tr w14:paraId="437894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15C7247E">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房地产业</w:t>
            </w:r>
          </w:p>
        </w:tc>
        <w:tc>
          <w:tcPr>
            <w:tcW w:w="2903" w:type="dxa"/>
            <w:vAlign w:val="center"/>
          </w:tcPr>
          <w:p w14:paraId="36FE6DD7">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75.11</w:t>
            </w:r>
          </w:p>
        </w:tc>
        <w:tc>
          <w:tcPr>
            <w:tcW w:w="2903" w:type="dxa"/>
            <w:vAlign w:val="center"/>
          </w:tcPr>
          <w:p w14:paraId="1A3C49AB">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0.3</w:t>
            </w:r>
          </w:p>
        </w:tc>
      </w:tr>
      <w:tr w14:paraId="52479C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atLeast"/>
          <w:jc w:val="center"/>
        </w:trPr>
        <w:tc>
          <w:tcPr>
            <w:tcW w:w="2902" w:type="dxa"/>
            <w:vAlign w:val="center"/>
          </w:tcPr>
          <w:p w14:paraId="5C2B240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其他服务业</w:t>
            </w:r>
          </w:p>
        </w:tc>
        <w:tc>
          <w:tcPr>
            <w:tcW w:w="2903" w:type="dxa"/>
            <w:vAlign w:val="center"/>
          </w:tcPr>
          <w:p w14:paraId="54208470">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195.60</w:t>
            </w:r>
          </w:p>
        </w:tc>
        <w:tc>
          <w:tcPr>
            <w:tcW w:w="2903" w:type="dxa"/>
            <w:vAlign w:val="center"/>
          </w:tcPr>
          <w:p w14:paraId="010E1978">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6.5</w:t>
            </w:r>
          </w:p>
        </w:tc>
      </w:tr>
    </w:tbl>
    <w:p w14:paraId="0AB0511B">
      <w:pPr>
        <w:pStyle w:val="19"/>
        <w:keepNext w:val="0"/>
        <w:keepLines w:val="0"/>
        <w:pageBreakBefore w:val="0"/>
        <w:kinsoku/>
        <w:wordWrap/>
        <w:overflowPunct/>
        <w:topLinePunct w:val="0"/>
        <w:autoSpaceDE/>
        <w:autoSpaceDN/>
        <w:bidi w:val="0"/>
        <w:adjustRightInd/>
        <w:snapToGrid/>
        <w:spacing w:line="560" w:lineRule="exact"/>
        <w:ind w:left="0" w:leftChars="0" w:right="0" w:rightChars="0"/>
        <w:jc w:val="center"/>
        <w:outlineLvl w:val="9"/>
        <w:rPr>
          <w:rFonts w:ascii="Times New Roman" w:hAnsi="Times New Roman" w:eastAsia="方正仿宋简体" w:cs="Times New Roman"/>
          <w:sz w:val="32"/>
          <w:szCs w:val="32"/>
        </w:rPr>
      </w:pPr>
    </w:p>
    <w:p w14:paraId="2F9A6CB4">
      <w:pPr>
        <w:pStyle w:val="25"/>
        <w:keepNext w:val="0"/>
        <w:keepLines w:val="0"/>
        <w:pageBreakBefore w:val="0"/>
        <w:kinsoku/>
        <w:wordWrap/>
        <w:overflowPunct/>
        <w:topLinePunct w:val="0"/>
        <w:autoSpaceDE/>
        <w:autoSpaceDN/>
        <w:bidi w:val="0"/>
        <w:adjustRightInd/>
        <w:snapToGrid/>
        <w:spacing w:line="560" w:lineRule="exact"/>
        <w:ind w:left="0" w:leftChars="0" w:right="0" w:rightChars="0"/>
        <w:jc w:val="center"/>
        <w:outlineLvl w:val="9"/>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二、农业</w:t>
      </w:r>
    </w:p>
    <w:p w14:paraId="300CE6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eastAsia="方正仿宋简体"/>
          <w:sz w:val="32"/>
          <w:szCs w:val="32"/>
        </w:rPr>
      </w:pPr>
    </w:p>
    <w:p w14:paraId="73BD5B3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Nimbus Roman" w:hAnsi="Nimbus Roman" w:eastAsia="方正仿宋简体" w:cs="Nimbus Roman"/>
          <w:color w:val="000000"/>
          <w:sz w:val="32"/>
          <w:szCs w:val="32"/>
          <w:highlight w:val="none"/>
        </w:rPr>
      </w:pPr>
      <w:r>
        <w:rPr>
          <w:rFonts w:hint="default" w:ascii="Nimbus Roman" w:hAnsi="Nimbus Roman" w:eastAsia="方正仿宋简体" w:cs="Nimbus Roman"/>
          <w:color w:val="000000"/>
          <w:sz w:val="32"/>
          <w:szCs w:val="32"/>
          <w:highlight w:val="none"/>
        </w:rPr>
        <w:t>2025年农业生产继续保持稳步发展。全年全区完成农林牧渔业总产值17.78亿元，增长0.3%。其中农业产值9.79亿元，同比增长1.2%；牧业产值3.16亿元，同比下降2.7%；渔业产值1.48亿元，同比下降5.9%；农林牧渔专业及辅助性活动产值3.34亿元，同比增长4.2%。</w:t>
      </w:r>
    </w:p>
    <w:p w14:paraId="5158B38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Nimbus Roman" w:hAnsi="Nimbus Roman" w:eastAsia="方正仿宋简体" w:cs="Nimbus Roman"/>
          <w:color w:val="000000"/>
          <w:sz w:val="32"/>
          <w:szCs w:val="32"/>
          <w:highlight w:val="none"/>
        </w:rPr>
      </w:pPr>
      <w:r>
        <w:rPr>
          <w:rFonts w:hint="default" w:ascii="Nimbus Roman" w:hAnsi="Nimbus Roman" w:eastAsia="方正仿宋简体" w:cs="Nimbus Roman"/>
          <w:color w:val="000000"/>
          <w:sz w:val="32"/>
          <w:szCs w:val="32"/>
          <w:highlight w:val="none"/>
        </w:rPr>
        <w:t>农作物总播种面积124816亩。粮食作物播种面积41938亩，其中稻谷面积31831亩，玉米面积4078亩，大豆面积741亩，薯类面积5288亩。经济作物面积82878亩，其中花生面积904亩，中草药材面积135亩，蔬菜面积80452亩，瓜果类（果用瓜）235亩，其他农作物1152亩。</w:t>
      </w:r>
    </w:p>
    <w:p w14:paraId="3D8FAC7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eastAsia="方正仿宋简体"/>
          <w:color w:val="000000"/>
          <w:sz w:val="32"/>
          <w:szCs w:val="32"/>
          <w:highlight w:val="none"/>
        </w:rPr>
      </w:pPr>
    </w:p>
    <w:tbl>
      <w:tblPr>
        <w:tblStyle w:val="11"/>
        <w:tblW w:w="8580" w:type="dxa"/>
        <w:tblInd w:w="0" w:type="dxa"/>
        <w:tblLayout w:type="fixed"/>
        <w:tblCellMar>
          <w:top w:w="0" w:type="dxa"/>
          <w:left w:w="0" w:type="dxa"/>
          <w:bottom w:w="0" w:type="dxa"/>
          <w:right w:w="0" w:type="dxa"/>
        </w:tblCellMar>
      </w:tblPr>
      <w:tblGrid>
        <w:gridCol w:w="2808"/>
        <w:gridCol w:w="1728"/>
        <w:gridCol w:w="1096"/>
        <w:gridCol w:w="2948"/>
      </w:tblGrid>
      <w:tr w14:paraId="5354C995">
        <w:trPr>
          <w:trHeight w:val="624" w:hRule="atLeast"/>
        </w:trPr>
        <w:tc>
          <w:tcPr>
            <w:tcW w:w="8580" w:type="dxa"/>
            <w:gridSpan w:val="4"/>
            <w:tcBorders>
              <w:top w:val="nil"/>
              <w:left w:val="nil"/>
              <w:bottom w:val="nil"/>
              <w:right w:val="nil"/>
            </w:tcBorders>
            <w:tcMar>
              <w:top w:w="10" w:type="dxa"/>
              <w:left w:w="10" w:type="dxa"/>
              <w:right w:w="10" w:type="dxa"/>
            </w:tcMar>
            <w:vAlign w:val="center"/>
          </w:tcPr>
          <w:p w14:paraId="12FF2D24">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center"/>
              <w:outlineLvl w:val="9"/>
              <w:rPr>
                <w:rFonts w:eastAsia="方正仿宋简体"/>
                <w:color w:val="000000"/>
                <w:kern w:val="0"/>
                <w:sz w:val="28"/>
                <w:szCs w:val="28"/>
                <w:lang w:bidi="ar"/>
              </w:rPr>
            </w:pPr>
            <w:r>
              <w:rPr>
                <w:rFonts w:hint="default" w:ascii="Nimbus Roman" w:hAnsi="Nimbus Roman" w:eastAsia="方正仿宋简体" w:cs="Nimbus Roman"/>
                <w:color w:val="000000"/>
                <w:kern w:val="0"/>
                <w:sz w:val="28"/>
                <w:szCs w:val="28"/>
                <w:lang w:bidi="ar"/>
              </w:rPr>
              <w:t>202</w:t>
            </w:r>
            <w:r>
              <w:rPr>
                <w:rFonts w:hint="default" w:ascii="Nimbus Roman" w:hAnsi="Nimbus Roman" w:eastAsia="方正仿宋简体" w:cs="Nimbus Roman"/>
                <w:color w:val="000000"/>
                <w:kern w:val="0"/>
                <w:sz w:val="28"/>
                <w:szCs w:val="28"/>
                <w:lang w:val="en-US" w:eastAsia="zh-CN" w:bidi="ar"/>
              </w:rPr>
              <w:t>5</w:t>
            </w:r>
            <w:r>
              <w:rPr>
                <w:rFonts w:eastAsia="方正仿宋简体"/>
                <w:color w:val="000000"/>
                <w:kern w:val="0"/>
                <w:sz w:val="28"/>
                <w:szCs w:val="28"/>
                <w:lang w:bidi="ar"/>
              </w:rPr>
              <w:t>年农业主要产品产量</w:t>
            </w:r>
          </w:p>
          <w:p w14:paraId="708A16EC">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center"/>
              <w:outlineLvl w:val="9"/>
              <w:rPr>
                <w:rFonts w:eastAsia="方正仿宋简体"/>
                <w:color w:val="000000"/>
                <w:kern w:val="0"/>
                <w:sz w:val="28"/>
                <w:szCs w:val="28"/>
                <w:lang w:bidi="ar"/>
              </w:rPr>
            </w:pPr>
          </w:p>
        </w:tc>
      </w:tr>
      <w:tr w14:paraId="37C5D4EC">
        <w:trPr>
          <w:trHeight w:val="624" w:hRule="atLeast"/>
        </w:trPr>
        <w:tc>
          <w:tcPr>
            <w:tcW w:w="280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0F7A595">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产品名称</w:t>
            </w:r>
          </w:p>
        </w:tc>
        <w:tc>
          <w:tcPr>
            <w:tcW w:w="17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70740D">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计量单位</w:t>
            </w:r>
          </w:p>
        </w:tc>
        <w:tc>
          <w:tcPr>
            <w:tcW w:w="10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68652B">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产量</w:t>
            </w:r>
          </w:p>
        </w:tc>
        <w:tc>
          <w:tcPr>
            <w:tcW w:w="2948" w:type="dxa"/>
            <w:tcBorders>
              <w:top w:val="single" w:color="000000" w:sz="4" w:space="0"/>
              <w:left w:val="single" w:color="000000" w:sz="4" w:space="0"/>
              <w:bottom w:val="single" w:color="000000" w:sz="4" w:space="0"/>
              <w:right w:val="nil"/>
            </w:tcBorders>
            <w:tcMar>
              <w:top w:w="10" w:type="dxa"/>
              <w:left w:w="10" w:type="dxa"/>
              <w:right w:w="10" w:type="dxa"/>
            </w:tcMar>
            <w:vAlign w:val="center"/>
          </w:tcPr>
          <w:p w14:paraId="107CDF0C">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同比增长（%）</w:t>
            </w:r>
          </w:p>
        </w:tc>
      </w:tr>
      <w:tr w14:paraId="14211B55">
        <w:trPr>
          <w:trHeight w:val="624" w:hRule="atLeast"/>
        </w:trPr>
        <w:tc>
          <w:tcPr>
            <w:tcW w:w="2808" w:type="dxa"/>
            <w:tcBorders>
              <w:top w:val="single" w:color="000000" w:sz="4" w:space="0"/>
              <w:left w:val="nil"/>
              <w:bottom w:val="nil"/>
              <w:right w:val="single" w:color="000000" w:sz="4" w:space="0"/>
            </w:tcBorders>
            <w:tcMar>
              <w:top w:w="10" w:type="dxa"/>
              <w:left w:w="10" w:type="dxa"/>
              <w:right w:w="10" w:type="dxa"/>
            </w:tcMar>
            <w:vAlign w:val="center"/>
          </w:tcPr>
          <w:p w14:paraId="4ABC93A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粮食</w:t>
            </w:r>
          </w:p>
        </w:tc>
        <w:tc>
          <w:tcPr>
            <w:tcW w:w="1728"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14:paraId="4FA308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14:paraId="39411E6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sz w:val="22"/>
                <w:szCs w:val="22"/>
                <w:highlight w:val="none"/>
                <w:lang w:val="en-US" w:eastAsia="zh-CN"/>
              </w:rPr>
              <w:t>2.02</w:t>
            </w:r>
          </w:p>
        </w:tc>
        <w:tc>
          <w:tcPr>
            <w:tcW w:w="2948" w:type="dxa"/>
            <w:tcBorders>
              <w:top w:val="single" w:color="000000" w:sz="4" w:space="0"/>
              <w:left w:val="single" w:color="000000" w:sz="4" w:space="0"/>
              <w:bottom w:val="nil"/>
              <w:right w:val="nil"/>
            </w:tcBorders>
            <w:tcMar>
              <w:top w:w="10" w:type="dxa"/>
              <w:left w:w="10" w:type="dxa"/>
              <w:right w:w="10" w:type="dxa"/>
            </w:tcMar>
            <w:vAlign w:val="center"/>
          </w:tcPr>
          <w:p w14:paraId="03FE6DB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sz w:val="22"/>
                <w:szCs w:val="22"/>
                <w:highlight w:val="none"/>
                <w:lang w:val="en-US" w:eastAsia="zh-CN"/>
              </w:rPr>
              <w:t>-</w:t>
            </w:r>
            <w:r>
              <w:rPr>
                <w:rFonts w:hint="eastAsia" w:ascii="Nimbus Roman" w:hAnsi="Nimbus Roman" w:eastAsia="方正仿宋简体" w:cs="Nimbus Roman"/>
                <w:color w:val="000000"/>
                <w:sz w:val="22"/>
                <w:szCs w:val="22"/>
                <w:highlight w:val="none"/>
                <w:lang w:val="en-US" w:eastAsia="zh-CN"/>
              </w:rPr>
              <w:t xml:space="preserve"> </w:t>
            </w:r>
            <w:r>
              <w:rPr>
                <w:rFonts w:hint="default" w:ascii="Nimbus Roman" w:hAnsi="Nimbus Roman" w:eastAsia="方正仿宋简体" w:cs="Nimbus Roman"/>
                <w:color w:val="000000"/>
                <w:sz w:val="22"/>
                <w:szCs w:val="22"/>
                <w:highlight w:val="none"/>
                <w:lang w:val="en-US" w:eastAsia="zh-CN"/>
              </w:rPr>
              <w:t>0.5</w:t>
            </w:r>
          </w:p>
        </w:tc>
      </w:tr>
      <w:tr w14:paraId="3F19EBF9">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6E3E8E5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#稻谷</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61778BC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37F1D7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1.</w:t>
            </w:r>
            <w:r>
              <w:rPr>
                <w:rFonts w:hint="default" w:ascii="Nimbus Roman" w:hAnsi="Nimbus Roman" w:eastAsia="方正仿宋简体" w:cs="Nimbus Roman"/>
                <w:color w:val="000000"/>
                <w:kern w:val="0"/>
                <w:sz w:val="22"/>
                <w:szCs w:val="22"/>
                <w:highlight w:val="none"/>
                <w:lang w:val="en-US" w:eastAsia="zh-CN" w:bidi="ar"/>
              </w:rPr>
              <w:t>61</w:t>
            </w:r>
          </w:p>
        </w:tc>
        <w:tc>
          <w:tcPr>
            <w:tcW w:w="2948" w:type="dxa"/>
            <w:tcBorders>
              <w:top w:val="nil"/>
              <w:left w:val="single" w:color="000000" w:sz="4" w:space="0"/>
              <w:bottom w:val="nil"/>
              <w:right w:val="nil"/>
            </w:tcBorders>
            <w:tcMar>
              <w:top w:w="10" w:type="dxa"/>
              <w:left w:w="10" w:type="dxa"/>
              <w:right w:w="10" w:type="dxa"/>
            </w:tcMar>
            <w:vAlign w:val="center"/>
          </w:tcPr>
          <w:p w14:paraId="0C497F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sz w:val="22"/>
                <w:szCs w:val="22"/>
                <w:highlight w:val="none"/>
                <w:lang w:val="en-US" w:eastAsia="zh-CN"/>
              </w:rPr>
              <w:t>1.3</w:t>
            </w:r>
          </w:p>
        </w:tc>
      </w:tr>
      <w:tr w14:paraId="5C81BDEF">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55D4BA8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水果</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0595F2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13FF0EA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strike w:val="0"/>
                <w:dstrike w:val="0"/>
                <w:color w:val="000000"/>
                <w:kern w:val="0"/>
                <w:sz w:val="22"/>
                <w:szCs w:val="22"/>
                <w:highlight w:val="none"/>
                <w:lang w:bidi="ar"/>
              </w:rPr>
              <w:t>0.</w:t>
            </w:r>
            <w:r>
              <w:rPr>
                <w:rFonts w:hint="default" w:ascii="Nimbus Roman" w:hAnsi="Nimbus Roman" w:eastAsia="方正仿宋简体" w:cs="Nimbus Roman"/>
                <w:strike w:val="0"/>
                <w:dstrike w:val="0"/>
                <w:color w:val="000000"/>
                <w:kern w:val="0"/>
                <w:sz w:val="22"/>
                <w:szCs w:val="22"/>
                <w:highlight w:val="none"/>
                <w:lang w:val="en-US" w:eastAsia="zh-CN" w:bidi="ar"/>
              </w:rPr>
              <w:t>17</w:t>
            </w:r>
          </w:p>
        </w:tc>
        <w:tc>
          <w:tcPr>
            <w:tcW w:w="2948" w:type="dxa"/>
            <w:tcBorders>
              <w:top w:val="nil"/>
              <w:left w:val="single" w:color="000000" w:sz="4" w:space="0"/>
              <w:bottom w:val="nil"/>
              <w:right w:val="nil"/>
            </w:tcBorders>
            <w:tcMar>
              <w:top w:w="10" w:type="dxa"/>
              <w:left w:w="10" w:type="dxa"/>
              <w:right w:w="10" w:type="dxa"/>
            </w:tcMar>
            <w:vAlign w:val="center"/>
          </w:tcPr>
          <w:p w14:paraId="0444F9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sz w:val="22"/>
                <w:szCs w:val="22"/>
                <w:highlight w:val="none"/>
                <w:lang w:val="en-US" w:eastAsia="zh-CN"/>
              </w:rPr>
              <w:t>-</w:t>
            </w:r>
            <w:r>
              <w:rPr>
                <w:rFonts w:hint="eastAsia" w:ascii="Nimbus Roman" w:hAnsi="Nimbus Roman" w:eastAsia="方正仿宋简体" w:cs="Nimbus Roman"/>
                <w:color w:val="000000"/>
                <w:sz w:val="22"/>
                <w:szCs w:val="22"/>
                <w:highlight w:val="none"/>
                <w:lang w:val="en-US" w:eastAsia="zh-CN"/>
              </w:rPr>
              <w:t xml:space="preserve"> </w:t>
            </w:r>
            <w:r>
              <w:rPr>
                <w:rFonts w:hint="default" w:ascii="Nimbus Roman" w:hAnsi="Nimbus Roman" w:eastAsia="方正仿宋简体" w:cs="Nimbus Roman"/>
                <w:color w:val="000000"/>
                <w:sz w:val="22"/>
                <w:szCs w:val="22"/>
                <w:highlight w:val="none"/>
                <w:lang w:val="en-US" w:eastAsia="zh-CN"/>
              </w:rPr>
              <w:t>11.3</w:t>
            </w:r>
          </w:p>
        </w:tc>
      </w:tr>
      <w:tr w14:paraId="05B9C7D8">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5282A81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肉类总产量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7007066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595C20C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sz w:val="22"/>
                <w:szCs w:val="22"/>
                <w:highlight w:val="none"/>
                <w:lang w:val="en-US" w:eastAsia="zh-CN"/>
              </w:rPr>
              <w:t>0.66</w:t>
            </w:r>
          </w:p>
        </w:tc>
        <w:tc>
          <w:tcPr>
            <w:tcW w:w="2948" w:type="dxa"/>
            <w:tcBorders>
              <w:top w:val="nil"/>
              <w:left w:val="single" w:color="000000" w:sz="4" w:space="0"/>
              <w:bottom w:val="nil"/>
              <w:right w:val="nil"/>
            </w:tcBorders>
            <w:tcMar>
              <w:top w:w="10" w:type="dxa"/>
              <w:left w:w="10" w:type="dxa"/>
              <w:right w:w="10" w:type="dxa"/>
            </w:tcMar>
            <w:vAlign w:val="center"/>
          </w:tcPr>
          <w:p w14:paraId="0A0C63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2.7</w:t>
            </w:r>
          </w:p>
        </w:tc>
      </w:tr>
      <w:tr w14:paraId="5AC0DF7B">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060E35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生猪出栏量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47A8D74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万头</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742BFAC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0</w:t>
            </w:r>
          </w:p>
        </w:tc>
        <w:tc>
          <w:tcPr>
            <w:tcW w:w="2948" w:type="dxa"/>
            <w:tcBorders>
              <w:top w:val="nil"/>
              <w:left w:val="single" w:color="000000" w:sz="4" w:space="0"/>
              <w:bottom w:val="nil"/>
              <w:right w:val="nil"/>
            </w:tcBorders>
            <w:tcMar>
              <w:top w:w="10" w:type="dxa"/>
              <w:left w:w="10" w:type="dxa"/>
              <w:right w:w="10" w:type="dxa"/>
            </w:tcMar>
            <w:vAlign w:val="center"/>
          </w:tcPr>
          <w:p w14:paraId="5879D8B0">
            <w:pPr>
              <w:keepNext w:val="0"/>
              <w:keepLines w:val="0"/>
              <w:pageBreakBefore w:val="0"/>
              <w:widowControl/>
              <w:tabs>
                <w:tab w:val="left" w:pos="888"/>
              </w:tabs>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sz w:val="24"/>
                <w:szCs w:val="24"/>
                <w:highlight w:val="none"/>
                <w:lang w:val="en-US" w:eastAsia="zh-CN"/>
              </w:rPr>
              <w:t>0</w:t>
            </w:r>
          </w:p>
        </w:tc>
      </w:tr>
      <w:tr w14:paraId="612C1F6D">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00C2B0E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家禽出栏量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0ED28D8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万只</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70087C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305.55</w:t>
            </w:r>
          </w:p>
        </w:tc>
        <w:tc>
          <w:tcPr>
            <w:tcW w:w="2948" w:type="dxa"/>
            <w:tcBorders>
              <w:top w:val="nil"/>
              <w:left w:val="single" w:color="000000" w:sz="4" w:space="0"/>
              <w:bottom w:val="nil"/>
              <w:right w:val="nil"/>
            </w:tcBorders>
            <w:tcMar>
              <w:top w:w="10" w:type="dxa"/>
              <w:left w:w="10" w:type="dxa"/>
              <w:right w:w="10" w:type="dxa"/>
            </w:tcMar>
            <w:vAlign w:val="center"/>
          </w:tcPr>
          <w:p w14:paraId="3046D8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3.2</w:t>
            </w:r>
          </w:p>
        </w:tc>
      </w:tr>
      <w:tr w14:paraId="7421A0CD">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69F796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禽蛋产量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601BF4D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5F191BB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0.0</w:t>
            </w:r>
            <w:r>
              <w:rPr>
                <w:rFonts w:hint="default" w:ascii="Nimbus Roman" w:hAnsi="Nimbus Roman" w:eastAsia="方正仿宋简体" w:cs="Nimbus Roman"/>
                <w:color w:val="000000"/>
                <w:kern w:val="0"/>
                <w:sz w:val="22"/>
                <w:szCs w:val="22"/>
                <w:highlight w:val="none"/>
                <w:lang w:val="en-US" w:eastAsia="zh-CN" w:bidi="ar"/>
              </w:rPr>
              <w:t>9</w:t>
            </w:r>
            <w:r>
              <w:rPr>
                <w:rFonts w:hint="default" w:ascii="Nimbus Roman" w:hAnsi="Nimbus Roman" w:eastAsia="方正仿宋简体" w:cs="Nimbus Roman"/>
                <w:color w:val="000000"/>
                <w:kern w:val="0"/>
                <w:sz w:val="22"/>
                <w:szCs w:val="22"/>
                <w:highlight w:val="none"/>
                <w:lang w:bidi="ar"/>
              </w:rPr>
              <w:t xml:space="preserve"> </w:t>
            </w:r>
          </w:p>
        </w:tc>
        <w:tc>
          <w:tcPr>
            <w:tcW w:w="2948" w:type="dxa"/>
            <w:tcBorders>
              <w:top w:val="nil"/>
              <w:left w:val="single" w:color="000000" w:sz="4" w:space="0"/>
              <w:bottom w:val="nil"/>
              <w:right w:val="nil"/>
            </w:tcBorders>
            <w:tcMar>
              <w:top w:w="10" w:type="dxa"/>
              <w:left w:w="10" w:type="dxa"/>
              <w:right w:w="10" w:type="dxa"/>
            </w:tcMar>
            <w:vAlign w:val="center"/>
          </w:tcPr>
          <w:p w14:paraId="14CB523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sz w:val="22"/>
                <w:szCs w:val="22"/>
                <w:highlight w:val="none"/>
                <w:lang w:val="en-US" w:eastAsia="zh-CN"/>
              </w:rPr>
              <w:t>-</w:t>
            </w:r>
            <w:r>
              <w:rPr>
                <w:rFonts w:hint="eastAsia" w:ascii="Nimbus Roman" w:hAnsi="Nimbus Roman" w:eastAsia="方正仿宋简体" w:cs="Nimbus Roman"/>
                <w:color w:val="000000"/>
                <w:sz w:val="22"/>
                <w:szCs w:val="22"/>
                <w:highlight w:val="none"/>
                <w:lang w:val="en-US" w:eastAsia="zh-CN"/>
              </w:rPr>
              <w:t xml:space="preserve"> </w:t>
            </w:r>
            <w:r>
              <w:rPr>
                <w:rFonts w:hint="default" w:ascii="Nimbus Roman" w:hAnsi="Nimbus Roman" w:eastAsia="方正仿宋简体" w:cs="Nimbus Roman"/>
                <w:color w:val="000000"/>
                <w:sz w:val="22"/>
                <w:szCs w:val="22"/>
                <w:highlight w:val="none"/>
                <w:lang w:val="en-US" w:eastAsia="zh-CN"/>
              </w:rPr>
              <w:t>0.2</w:t>
            </w:r>
          </w:p>
        </w:tc>
      </w:tr>
      <w:tr w14:paraId="71069CAE">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6649E13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水产品产量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71FFF39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25FBC23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val="en-US" w:eastAsia="zh-CN" w:bidi="ar"/>
              </w:rPr>
              <w:t>0.93</w:t>
            </w:r>
          </w:p>
        </w:tc>
        <w:tc>
          <w:tcPr>
            <w:tcW w:w="2948" w:type="dxa"/>
            <w:tcBorders>
              <w:top w:val="nil"/>
              <w:left w:val="single" w:color="000000" w:sz="4" w:space="0"/>
              <w:bottom w:val="nil"/>
              <w:right w:val="nil"/>
            </w:tcBorders>
            <w:tcMar>
              <w:top w:w="10" w:type="dxa"/>
              <w:left w:w="10" w:type="dxa"/>
              <w:right w:w="10" w:type="dxa"/>
            </w:tcMar>
            <w:vAlign w:val="center"/>
          </w:tcPr>
          <w:p w14:paraId="1A35F16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kern w:val="0"/>
                <w:sz w:val="22"/>
                <w:szCs w:val="22"/>
                <w:highlight w:val="none"/>
                <w:lang w:val="en-US" w:eastAsia="zh-CN"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4.4</w:t>
            </w:r>
          </w:p>
        </w:tc>
      </w:tr>
      <w:tr w14:paraId="0D45DCE7">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16D54F9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#海水产品产量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79179A0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350FDD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0.</w:t>
            </w:r>
            <w:r>
              <w:rPr>
                <w:rFonts w:hint="default" w:ascii="Nimbus Roman" w:hAnsi="Nimbus Roman" w:eastAsia="方正仿宋简体" w:cs="Nimbus Roman"/>
                <w:color w:val="000000"/>
                <w:kern w:val="0"/>
                <w:sz w:val="22"/>
                <w:szCs w:val="22"/>
                <w:highlight w:val="none"/>
                <w:lang w:val="en-US" w:eastAsia="zh-CN" w:bidi="ar"/>
              </w:rPr>
              <w:t>43</w:t>
            </w:r>
            <w:r>
              <w:rPr>
                <w:rFonts w:hint="default" w:ascii="Nimbus Roman" w:hAnsi="Nimbus Roman" w:eastAsia="方正仿宋简体" w:cs="Nimbus Roman"/>
                <w:color w:val="000000"/>
                <w:kern w:val="0"/>
                <w:sz w:val="22"/>
                <w:szCs w:val="22"/>
                <w:highlight w:val="none"/>
                <w:lang w:bidi="ar"/>
              </w:rPr>
              <w:t xml:space="preserve"> </w:t>
            </w:r>
          </w:p>
        </w:tc>
        <w:tc>
          <w:tcPr>
            <w:tcW w:w="2948" w:type="dxa"/>
            <w:tcBorders>
              <w:top w:val="nil"/>
              <w:left w:val="single" w:color="000000" w:sz="4" w:space="0"/>
              <w:bottom w:val="nil"/>
              <w:right w:val="nil"/>
            </w:tcBorders>
            <w:tcMar>
              <w:top w:w="10" w:type="dxa"/>
              <w:left w:w="10" w:type="dxa"/>
              <w:right w:w="10" w:type="dxa"/>
            </w:tcMar>
            <w:vAlign w:val="center"/>
          </w:tcPr>
          <w:p w14:paraId="38A016F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sz w:val="22"/>
                <w:szCs w:val="22"/>
                <w:highlight w:val="none"/>
                <w:lang w:val="en-US" w:eastAsia="zh-CN"/>
              </w:rPr>
              <w:t>0.6</w:t>
            </w:r>
          </w:p>
        </w:tc>
      </w:tr>
      <w:tr w14:paraId="44E0B25F">
        <w:trPr>
          <w:trHeight w:val="624" w:hRule="atLeast"/>
        </w:trPr>
        <w:tc>
          <w:tcPr>
            <w:tcW w:w="2808" w:type="dxa"/>
            <w:tcBorders>
              <w:top w:val="nil"/>
              <w:left w:val="nil"/>
              <w:bottom w:val="single" w:color="000000" w:sz="4" w:space="0"/>
              <w:right w:val="single" w:color="000000" w:sz="4" w:space="0"/>
            </w:tcBorders>
            <w:tcMar>
              <w:top w:w="10" w:type="dxa"/>
              <w:left w:w="10" w:type="dxa"/>
              <w:right w:w="10" w:type="dxa"/>
            </w:tcMar>
            <w:vAlign w:val="center"/>
          </w:tcPr>
          <w:p w14:paraId="1CB7867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淡水产品产量</w:t>
            </w:r>
          </w:p>
        </w:tc>
        <w:tc>
          <w:tcPr>
            <w:tcW w:w="1728" w:type="dxa"/>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D8A85F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single" w:color="000000" w:sz="4" w:space="0"/>
              <w:right w:val="single" w:color="000000" w:sz="4" w:space="0"/>
            </w:tcBorders>
            <w:tcMar>
              <w:top w:w="10" w:type="dxa"/>
              <w:left w:w="10" w:type="dxa"/>
              <w:right w:w="10" w:type="dxa"/>
            </w:tcMar>
            <w:vAlign w:val="center"/>
          </w:tcPr>
          <w:p w14:paraId="183D65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kern w:val="0"/>
                <w:sz w:val="22"/>
                <w:szCs w:val="22"/>
                <w:highlight w:val="none"/>
                <w:lang w:bidi="ar"/>
              </w:rPr>
              <w:t>0.</w:t>
            </w:r>
            <w:r>
              <w:rPr>
                <w:rFonts w:hint="default" w:ascii="Nimbus Roman" w:hAnsi="Nimbus Roman" w:eastAsia="方正仿宋简体" w:cs="Nimbus Roman"/>
                <w:color w:val="000000"/>
                <w:kern w:val="0"/>
                <w:sz w:val="22"/>
                <w:szCs w:val="22"/>
                <w:highlight w:val="none"/>
                <w:lang w:val="en-US" w:eastAsia="zh-CN" w:bidi="ar"/>
              </w:rPr>
              <w:t>50</w:t>
            </w:r>
          </w:p>
        </w:tc>
        <w:tc>
          <w:tcPr>
            <w:tcW w:w="2948" w:type="dxa"/>
            <w:tcBorders>
              <w:top w:val="nil"/>
              <w:left w:val="single" w:color="000000" w:sz="4" w:space="0"/>
              <w:bottom w:val="single" w:color="000000" w:sz="4" w:space="0"/>
              <w:right w:val="nil"/>
            </w:tcBorders>
            <w:tcMar>
              <w:top w:w="10" w:type="dxa"/>
              <w:left w:w="10" w:type="dxa"/>
              <w:right w:w="10" w:type="dxa"/>
            </w:tcMar>
            <w:vAlign w:val="center"/>
          </w:tcPr>
          <w:p w14:paraId="53BAD0C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8.3</w:t>
            </w:r>
          </w:p>
        </w:tc>
      </w:tr>
    </w:tbl>
    <w:p w14:paraId="50337143">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Times New Roman" w:hAnsi="Times New Roman" w:eastAsia="方正仿宋简体" w:cs="Times New Roman"/>
          <w:color w:val="000000"/>
          <w:kern w:val="2"/>
          <w:sz w:val="24"/>
          <w:szCs w:val="24"/>
          <w:highlight w:val="none"/>
          <w:lang w:val="en-US" w:eastAsia="zh-CN" w:bidi="ar-SA"/>
        </w:rPr>
      </w:pPr>
      <w:r>
        <w:rPr>
          <w:rFonts w:hint="eastAsia" w:ascii="Times New Roman" w:hAnsi="Times New Roman" w:eastAsia="方正仿宋简体" w:cs="Times New Roman"/>
          <w:color w:val="000000"/>
          <w:kern w:val="2"/>
          <w:sz w:val="24"/>
          <w:szCs w:val="24"/>
          <w:highlight w:val="none"/>
          <w:lang w:val="en-US" w:eastAsia="zh-CN" w:bidi="ar-SA"/>
        </w:rPr>
        <w:t>备注：水果实有总产量包含瓜类（果用瓜）。</w:t>
      </w:r>
    </w:p>
    <w:p w14:paraId="63FFD1E4">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Times New Roman" w:hAnsi="Times New Roman" w:eastAsia="方正仿宋简体" w:cs="Times New Roman"/>
          <w:color w:val="000000"/>
          <w:kern w:val="2"/>
          <w:sz w:val="24"/>
          <w:szCs w:val="24"/>
          <w:highlight w:val="none"/>
          <w:lang w:val="en-US" w:eastAsia="zh-CN" w:bidi="ar-SA"/>
        </w:rPr>
      </w:pPr>
    </w:p>
    <w:p w14:paraId="53275958">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三、工业和建筑业</w:t>
      </w:r>
    </w:p>
    <w:p w14:paraId="2CF63233">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简体" w:cs="Times New Roman"/>
          <w:color w:val="FF0000"/>
          <w:sz w:val="32"/>
          <w:szCs w:val="32"/>
        </w:rPr>
      </w:pPr>
    </w:p>
    <w:p w14:paraId="51311D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规模以上工业企业283户，完成规模以上工业产值266.90亿元，下降7.8%；规模以上工业增加值50.16亿元，下降11.0%。在规模以上工业中，股份制企业下降24.4%，外商及港澳台商投资企业增长1.0%，其他经济类型企业下降30.1%。规模以上工业实现销售产值261.04亿元，下降8.3%，其中出口交货值61.82亿元，下降7.3%；工业产品销售率97.80%，下降0.50个百分点。</w:t>
      </w:r>
    </w:p>
    <w:p w14:paraId="326A9C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24527B55">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eastAsia="方正仿宋简体"/>
          <w:color w:val="000000"/>
          <w:sz w:val="32"/>
          <w:szCs w:val="32"/>
          <w:highlight w:val="none"/>
          <w:lang w:val="en-US" w:eastAsia="zh-CN"/>
        </w:rPr>
      </w:pPr>
      <w:r>
        <w:drawing>
          <wp:inline distT="0" distB="0" distL="114300" distR="114300">
            <wp:extent cx="5811520" cy="4105910"/>
            <wp:effectExtent l="4445" t="4445" r="1333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775107">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center"/>
        <w:textAlignment w:val="auto"/>
        <w:outlineLvl w:val="9"/>
        <w:rPr>
          <w:rFonts w:hint="default" w:ascii="Nimbus Roman" w:hAnsi="Nimbus Roman" w:eastAsia="方正仿宋简体" w:cs="Nimbus Roman"/>
          <w:color w:val="000000"/>
          <w:sz w:val="32"/>
          <w:szCs w:val="32"/>
          <w:highlight w:val="none"/>
          <w:lang w:val="en-US" w:eastAsia="zh-CN"/>
        </w:rPr>
      </w:pPr>
    </w:p>
    <w:p w14:paraId="77DE40EC">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center"/>
        <w:textAlignment w:val="auto"/>
        <w:outlineLvl w:val="9"/>
        <w:rPr>
          <w:rFonts w:hint="default" w:ascii="Nimbus Roman" w:hAnsi="Nimbus Roman" w:eastAsia="方正仿宋简体" w:cs="Nimbus Roman"/>
          <w:color w:val="000000"/>
          <w:sz w:val="32"/>
          <w:szCs w:val="32"/>
          <w:highlight w:val="none"/>
          <w:lang w:val="en-US" w:eastAsia="zh-CN"/>
        </w:rPr>
      </w:pPr>
      <w:r>
        <w:rPr>
          <w:rFonts w:hint="default" w:ascii="Nimbus Roman" w:hAnsi="Nimbus Roman" w:eastAsia="方正仿宋简体" w:cs="Nimbus Roman"/>
          <w:color w:val="000000"/>
          <w:sz w:val="32"/>
          <w:szCs w:val="32"/>
          <w:highlight w:val="none"/>
          <w:lang w:val="en-US" w:eastAsia="zh-CN"/>
        </w:rPr>
        <w:t>全区建筑企业完成施工产值48.6亿元，下降33.3%，房屋建筑施工面积409.46万平方米，房屋竣工产值65.44亿元。</w:t>
      </w:r>
    </w:p>
    <w:p w14:paraId="73F49804">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center"/>
        <w:textAlignment w:val="auto"/>
        <w:outlineLvl w:val="9"/>
        <w:rPr>
          <w:rFonts w:hint="eastAsia" w:eastAsia="方正仿宋简体"/>
          <w:color w:val="000000"/>
          <w:sz w:val="32"/>
          <w:szCs w:val="32"/>
          <w:highlight w:val="none"/>
          <w:lang w:val="en-US" w:eastAsia="zh-CN"/>
        </w:rPr>
      </w:pPr>
    </w:p>
    <w:p w14:paraId="3C5B34D2">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方正仿宋简体" w:cs="Times New Roman"/>
          <w:color w:val="000000"/>
          <w:sz w:val="32"/>
          <w:szCs w:val="32"/>
        </w:rPr>
      </w:pPr>
      <w:r>
        <w:rPr>
          <w:rFonts w:ascii="方正黑体简体" w:hAnsi="Times New Roman" w:eastAsia="方正黑体简体" w:cs="Times New Roman"/>
          <w:color w:val="000000"/>
          <w:sz w:val="32"/>
          <w:szCs w:val="32"/>
        </w:rPr>
        <w:t>四、固定资产投资</w:t>
      </w:r>
    </w:p>
    <w:p w14:paraId="0D4E3F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方正仿宋简体"/>
          <w:color w:val="000000"/>
          <w:sz w:val="32"/>
          <w:szCs w:val="32"/>
          <w:highlight w:val="none"/>
          <w:lang w:val="en-US" w:eastAsia="zh-CN"/>
        </w:rPr>
      </w:pPr>
    </w:p>
    <w:p w14:paraId="4F401AB2">
      <w:pPr>
        <w:pStyle w:val="20"/>
        <w:ind w:firstLine="640" w:firstLineChars="200"/>
        <w:rPr>
          <w:rFonts w:hint="default" w:ascii="Nimbus Roman" w:hAnsi="Nimbus Roman" w:eastAsia="方正仿宋简体" w:cs="Nimbus Roman"/>
          <w:color w:val="000000"/>
          <w:sz w:val="32"/>
          <w:szCs w:val="32"/>
          <w:highlight w:val="none"/>
          <w:lang w:val="en-US" w:eastAsia="zh-CN"/>
        </w:rPr>
      </w:pPr>
      <w:r>
        <w:rPr>
          <w:rFonts w:hint="default" w:ascii="Nimbus Roman" w:hAnsi="Nimbus Roman" w:eastAsia="方正仿宋简体" w:cs="Nimbus Roman"/>
          <w:color w:val="000000"/>
          <w:sz w:val="32"/>
          <w:szCs w:val="32"/>
          <w:highlight w:val="none"/>
          <w:lang w:val="en-US" w:eastAsia="zh-CN"/>
        </w:rPr>
        <w:t>全年完成全社会固定资产投资额下降47.8%。其中房地产开发投资下降34.8%。（以下数据不含市直项目）全年固定资产投资建设项目144个，其中本年度新开工项目64个。本年度完成投资额在1000万元以上的项目72个，其中完成投资额在2000万元以上的项目56个，完成投资额在5000万元以上的项目有29个。</w:t>
      </w:r>
    </w:p>
    <w:p w14:paraId="0E6D25E0">
      <w:pPr>
        <w:pStyle w:val="20"/>
        <w:rPr>
          <w:rFonts w:ascii="Times New Roman" w:hAnsi="Times New Roman" w:eastAsia="方正仿宋简体" w:cs="Times New Roman"/>
          <w:b/>
          <w:color w:val="000000"/>
          <w:sz w:val="32"/>
          <w:szCs w:val="32"/>
        </w:rPr>
      </w:pPr>
    </w:p>
    <w:p w14:paraId="7A4EBF18">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olor w:val="000000"/>
          <w:sz w:val="32"/>
          <w:szCs w:val="32"/>
          <w:highlight w:val="none"/>
        </w:rPr>
      </w:pPr>
      <w:r>
        <w:rPr>
          <w:rFonts w:hint="eastAsia" w:ascii="Times New Roman" w:hAnsi="Times New Roman" w:eastAsia="方正仿宋简体" w:cs="Times New Roman"/>
          <w:b/>
          <w:color w:val="000000"/>
          <w:sz w:val="32"/>
          <w:szCs w:val="32"/>
          <w:highlight w:val="none"/>
          <w:lang w:eastAsia="zh-CN"/>
        </w:rPr>
        <w:drawing>
          <wp:inline distT="0" distB="0" distL="114300" distR="114300">
            <wp:extent cx="5538470" cy="3228340"/>
            <wp:effectExtent l="0" t="0" r="5080" b="10160"/>
            <wp:docPr id="1" name="图片 1" descr="3a8d046c225418952a5b1280dffbd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8d046c225418952a5b1280dffbd941"/>
                    <pic:cNvPicPr>
                      <a:picLocks noChangeAspect="1"/>
                    </pic:cNvPicPr>
                  </pic:nvPicPr>
                  <pic:blipFill>
                    <a:blip r:embed="rId11"/>
                    <a:stretch>
                      <a:fillRect/>
                    </a:stretch>
                  </pic:blipFill>
                  <pic:spPr>
                    <a:xfrm>
                      <a:off x="0" y="0"/>
                      <a:ext cx="5538470" cy="3228340"/>
                    </a:xfrm>
                    <a:prstGeom prst="rect">
                      <a:avLst/>
                    </a:prstGeom>
                  </pic:spPr>
                </pic:pic>
              </a:graphicData>
            </a:graphic>
          </wp:inline>
        </w:drawing>
      </w:r>
    </w:p>
    <w:p w14:paraId="042669E9">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olor w:val="000000"/>
          <w:sz w:val="32"/>
          <w:szCs w:val="32"/>
        </w:rPr>
      </w:pPr>
    </w:p>
    <w:p w14:paraId="1D243895">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五、国内贸易</w:t>
      </w:r>
    </w:p>
    <w:p w14:paraId="39F7E1E2">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仿宋_GB2312"/>
          <w:sz w:val="32"/>
          <w:szCs w:val="32"/>
        </w:rPr>
      </w:pPr>
    </w:p>
    <w:p w14:paraId="16947C15">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社会消费品零售总额315.67亿元，下降0.6%。全年限上</w:t>
      </w:r>
      <w:r>
        <w:rPr>
          <w:rFonts w:hint="eastAsia" w:ascii="Nimbus Roman" w:hAnsi="Nimbus Roman" w:eastAsia="仿宋_GB2312" w:cs="Nimbus Roman"/>
          <w:sz w:val="32"/>
          <w:szCs w:val="32"/>
          <w:lang w:eastAsia="zh-CN"/>
        </w:rPr>
        <w:t>汽</w:t>
      </w:r>
      <w:r>
        <w:rPr>
          <w:rFonts w:hint="default" w:ascii="Nimbus Roman" w:hAnsi="Nimbus Roman" w:eastAsia="仿宋_GB2312" w:cs="Nimbus Roman"/>
          <w:sz w:val="32"/>
          <w:szCs w:val="32"/>
        </w:rPr>
        <w:t>车零售55.72亿元，下降26.2%。大型超市6个</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rPr>
        <w:t>全年零售额4.24亿元</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rPr>
        <w:t xml:space="preserve"> 下降11.1%。限上汽车零售、大型超市和餐饮零售额占全区社会消费品零售总额的22.2%。</w:t>
      </w:r>
    </w:p>
    <w:p w14:paraId="110A99A7">
      <w:pPr>
        <w:pStyle w:val="26"/>
        <w:spacing w:line="560" w:lineRule="exact"/>
        <w:rPr>
          <w:rFonts w:eastAsia="仿宋_GB2312"/>
          <w:sz w:val="32"/>
          <w:szCs w:val="32"/>
        </w:rPr>
      </w:pPr>
      <w:r>
        <w:drawing>
          <wp:anchor distT="0" distB="0" distL="114300" distR="114300" simplePos="0" relativeHeight="251659264" behindDoc="0" locked="0" layoutInCell="1" allowOverlap="1">
            <wp:simplePos x="0" y="0"/>
            <wp:positionH relativeFrom="column">
              <wp:posOffset>96520</wp:posOffset>
            </wp:positionH>
            <wp:positionV relativeFrom="paragraph">
              <wp:posOffset>-7167880</wp:posOffset>
            </wp:positionV>
            <wp:extent cx="5362575" cy="3502025"/>
            <wp:effectExtent l="0" t="0" r="9525" b="317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7BB550A">
      <w:pPr>
        <w:pStyle w:val="26"/>
        <w:spacing w:line="560" w:lineRule="exact"/>
        <w:jc w:val="center"/>
        <w:rPr>
          <w:rFonts w:hint="eastAsia" w:ascii="黑体" w:hAnsi="黑体" w:eastAsia="黑体"/>
          <w:color w:val="000000"/>
          <w:sz w:val="32"/>
          <w:szCs w:val="32"/>
        </w:rPr>
      </w:pPr>
    </w:p>
    <w:p w14:paraId="04326C91">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六、对外经济贸易</w:t>
      </w:r>
    </w:p>
    <w:p w14:paraId="0471BEF1">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仿宋_GB2312" w:hAnsi="宋体" w:eastAsia="仿宋_GB2312"/>
          <w:b/>
          <w:color w:val="000000"/>
          <w:sz w:val="32"/>
          <w:szCs w:val="32"/>
        </w:rPr>
      </w:pPr>
    </w:p>
    <w:p w14:paraId="307779E5">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全年累计引进外商直接投资项目29宗，增长3.6%；合同外资金额3.68亿元，下降66.6%；实际吸收外资金额9.27亿元，增长604.8%。</w:t>
      </w:r>
    </w:p>
    <w:p w14:paraId="1AE49B22">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ascii="Times New Roman" w:hAnsi="Times New Roman" w:eastAsia="方正仿宋简体" w:cs="Times New Roman"/>
          <w:b/>
          <w:color w:val="000000"/>
          <w:sz w:val="32"/>
          <w:szCs w:val="32"/>
        </w:rPr>
      </w:pPr>
    </w:p>
    <w:p w14:paraId="57F9319A">
      <w:pPr>
        <w:pStyle w:val="25"/>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七、财  政</w:t>
      </w:r>
    </w:p>
    <w:p w14:paraId="5FDA73E0">
      <w:pPr>
        <w:pStyle w:val="25"/>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Times New Roman" w:hAnsi="Times New Roman" w:eastAsia="方正仿宋简体" w:cs="Times New Roman"/>
          <w:color w:val="000000"/>
          <w:sz w:val="32"/>
          <w:szCs w:val="32"/>
        </w:rPr>
      </w:pPr>
    </w:p>
    <w:p w14:paraId="282BEF74">
      <w:pPr>
        <w:pStyle w:val="25"/>
        <w:keepNext w:val="0"/>
        <w:keepLines w:val="0"/>
        <w:pageBreakBefore w:val="0"/>
        <w:widowControl w:val="0"/>
        <w:kinsoku/>
        <w:wordWrap/>
        <w:overflowPunct/>
        <w:topLinePunct w:val="0"/>
        <w:autoSpaceDE/>
        <w:autoSpaceDN/>
        <w:bidi w:val="0"/>
        <w:spacing w:line="520" w:lineRule="exact"/>
        <w:ind w:left="0" w:leftChars="0" w:right="0" w:rightChars="0" w:firstLine="800" w:firstLineChars="25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全年实现一般公共财政预算收入累计25.20亿元，同比增长1.5%。其中，税收收入20.02亿元，增长0.9%，税收占比79.5%；非税收入5.18亿元，增长4.0%，非税占比20.5%。全年一般公共预算支出累计30.78亿元，下降6.5%。</w:t>
      </w:r>
    </w:p>
    <w:p w14:paraId="54E63D09">
      <w:pPr>
        <w:pStyle w:val="25"/>
        <w:keepNext w:val="0"/>
        <w:keepLines w:val="0"/>
        <w:pageBreakBefore w:val="0"/>
        <w:widowControl w:val="0"/>
        <w:kinsoku/>
        <w:wordWrap/>
        <w:overflowPunct/>
        <w:topLinePunct w:val="0"/>
        <w:autoSpaceDE/>
        <w:autoSpaceDN/>
        <w:bidi w:val="0"/>
        <w:spacing w:line="520" w:lineRule="exact"/>
        <w:ind w:left="0" w:leftChars="0" w:right="0" w:rightChars="0" w:firstLine="800" w:firstLineChars="250"/>
        <w:textAlignment w:val="auto"/>
        <w:rPr>
          <w:rFonts w:hint="eastAsia" w:ascii="Nimbus Roman" w:hAnsi="Nimbus Roman" w:eastAsia="方正仿宋简体" w:cs="Nimbus Roman"/>
          <w:color w:val="000000"/>
          <w:sz w:val="32"/>
          <w:szCs w:val="32"/>
        </w:rPr>
      </w:pPr>
    </w:p>
    <w:p w14:paraId="458A3CF1">
      <w:pPr>
        <w:pStyle w:val="25"/>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八、科技、教育、文化、卫生和体育</w:t>
      </w:r>
    </w:p>
    <w:p w14:paraId="028C803E">
      <w:pPr>
        <w:pStyle w:val="20"/>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Times New Roman" w:hAnsi="Times New Roman" w:eastAsia="方正仿宋简体" w:cs="Times New Roman"/>
          <w:b/>
          <w:bCs/>
          <w:color w:val="000000"/>
          <w:sz w:val="32"/>
          <w:szCs w:val="32"/>
        </w:rPr>
      </w:pPr>
    </w:p>
    <w:p w14:paraId="752A0E84">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eastAsia" w:ascii="国标楷体" w:hAnsi="国标楷体" w:eastAsia="国标楷体" w:cs="国标楷体"/>
          <w:color w:val="000000"/>
          <w:sz w:val="32"/>
          <w:szCs w:val="32"/>
          <w:highlight w:val="none"/>
          <w:lang w:eastAsia="zh-CN"/>
        </w:rPr>
        <w:t>科技方面。</w:t>
      </w:r>
      <w:r>
        <w:rPr>
          <w:rFonts w:hint="default" w:ascii="Nimbus Roman" w:hAnsi="Nimbus Roman" w:eastAsia="方正仿宋简体" w:cs="Nimbus Roman"/>
          <w:color w:val="000000"/>
          <w:sz w:val="32"/>
          <w:szCs w:val="32"/>
          <w:highlight w:val="none"/>
          <w:lang w:eastAsia="zh-CN"/>
        </w:rPr>
        <w:t>2025年，组织三批共49家企业申报高新技术企业认定，其中41家获得备案公示，38家已通过认定。推荐4批共96家企业申报并通过科技型中小企业认定。新增市级工程技术研究中心7个，占全市企业类认定总数54%，数量为全市各区县最多。组织推荐8个项目申报2025年中央引导地方科技发展专项资金（汕头创新型城市建设），共6个项目获得立项，为全市各区县第一。组织发动各创新主体积极开发科研助理岗位，完成招聘应届高校毕业生科研助理66人，超额完成市下达的任务。2025年1-12月全区专利授权量1771件，同比增长-14.15%，其中发明专利授权量178件，同比增长-23.93%。</w:t>
      </w:r>
    </w:p>
    <w:p w14:paraId="0517E47D">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教育方面。</w:t>
      </w:r>
      <w:r>
        <w:rPr>
          <w:rFonts w:hint="default" w:ascii="Nimbus Roman" w:hAnsi="Nimbus Roman" w:eastAsia="方正仿宋简体" w:cs="Nimbus Roman"/>
          <w:color w:val="000000"/>
          <w:sz w:val="32"/>
          <w:szCs w:val="32"/>
          <w:highlight w:val="none"/>
          <w:lang w:eastAsia="zh-CN"/>
        </w:rPr>
        <w:t>2025 年全区有中小学校、幼儿园共256所，其中高级中学1所，完全中学6所，十二年一贯制2所，九年一贯制学校14所，初级中学7所，小学61所，幼儿园164所</w:t>
      </w:r>
      <w:r>
        <w:rPr>
          <w:rFonts w:hint="eastAsia" w:ascii="Nimbus Roman" w:hAnsi="Nimbus Roman" w:eastAsia="方正仿宋简体" w:cs="Nimbus Roman"/>
          <w:color w:val="000000"/>
          <w:sz w:val="32"/>
          <w:szCs w:val="32"/>
          <w:highlight w:val="none"/>
          <w:lang w:eastAsia="zh-CN"/>
        </w:rPr>
        <w:t>，</w:t>
      </w:r>
      <w:r>
        <w:rPr>
          <w:rFonts w:hint="default" w:ascii="Nimbus Roman" w:hAnsi="Nimbus Roman" w:eastAsia="方正仿宋简体" w:cs="Nimbus Roman"/>
          <w:color w:val="000000"/>
          <w:sz w:val="32"/>
          <w:szCs w:val="32"/>
          <w:highlight w:val="none"/>
          <w:lang w:eastAsia="zh-CN"/>
        </w:rPr>
        <w:t>特殊教育学校1所。公办中小学校77所，民办中小学校14所。全区在校学生、在园幼儿共136008人，其中普通高中学校11630人，初中生30478人，小学生 66814人，在园幼儿27086人;全区有专任教师9003人，其中幼儿园专任教师2138人，小学专任教师3755人，初中专任教师2194人，普通高中专任教师916人。</w:t>
      </w:r>
    </w:p>
    <w:p w14:paraId="4A20AEBF">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文化方面。</w:t>
      </w:r>
      <w:r>
        <w:rPr>
          <w:rFonts w:hint="default" w:ascii="Nimbus Roman" w:hAnsi="Nimbus Roman" w:eastAsia="方正仿宋简体" w:cs="Nimbus Roman"/>
          <w:color w:val="000000"/>
          <w:sz w:val="32"/>
          <w:szCs w:val="32"/>
          <w:highlight w:val="none"/>
          <w:lang w:eastAsia="zh-CN"/>
        </w:rPr>
        <w:t>2025年，龙湖区图书馆新增图书超1.7万册。数字化资源建设取得进展，新增电子图书6万册，增强了线上服务能力。全年接待读者27万人次，流通册数达到24万册次，新增办证数量2482个。总馆举办各类阅读推广活动59场，包括读书会、讲座、展览等，有效激发了公众的阅读兴趣。继续推进总分馆共建，强化统筹指导，全年开展统一培训2次，对分馆及服务点进行业务辅导超20次。为街道文化站和各服务点配置轮换图书和为社会合作分馆提供24小时自助阅读书柜一台。广泛开展群众喜闻乐见的文化活动，全年线上线下活动参与人次达10.44万人次，2025年“阅读——我的旅游小伙伴”主题活动，共有359篇（件）优秀作品分别荣获区级一、二等奖，其中优秀作品参加市级评选，共42篇（件）获奖。</w:t>
      </w:r>
    </w:p>
    <w:p w14:paraId="31379542">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Nimbus Roman" w:hAnsi="Nimbus Roman" w:eastAsia="方正仿宋简体" w:cs="Nimbus Roman"/>
          <w:color w:val="000000"/>
          <w:sz w:val="32"/>
          <w:szCs w:val="32"/>
          <w:highlight w:val="none"/>
          <w:lang w:eastAsia="zh-CN"/>
        </w:rPr>
        <w:t>2025年，区文化馆共举办48场文化惠民活动，线上线下共计惠民14万人次。其中，演出类活动16场（含爱乐市民音乐会5场），结合特区建立45周年、普法等主题举办各类艺术展览15场，非遗民俗、集市类活动10场。在2025年汕头市少儿艺术花会上，我区斩获7金9银30铜；林诗涵等5位小朋友创作的美术作品代表汕头市在广东省第十三届少儿艺术花会上荣获1个一等奖，2个二等奖，2个三等奖的佳绩。在广东省第七届弦乐大赛中，龙湖区爱乐市民音乐会孵化基地——乐尔弦乐团学生一、二团双双荣获金奖，刷新汕头从未在该权威赛事荣获合奏组金奖的记录。8月，龙湖区群众合唱团荣获中国湖北(利川）首届民歌合唱大会合唱比赛银奖，刘英伟荣获最佳指挥奖。在由市委宣传部举办的“乡悦听潮”艺术花会中，我区选送的节目获得6个优秀表演奖，2个表演奖，区委宣传部荣获3个组织奖，为全市六区一县最好成绩。我区拥有区级非遗项目27项、市级16项、省级4项、国家级1项，涵盖传统技艺、传统美术、民间文学、民俗4个类别；区级非遗传承人29名、市级15名、省级3 名、国家级1名。</w:t>
      </w:r>
    </w:p>
    <w:p w14:paraId="567FB163">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卫生健康事业方面。</w:t>
      </w:r>
      <w:r>
        <w:rPr>
          <w:rFonts w:hint="default" w:ascii="Nimbus Roman" w:hAnsi="Nimbus Roman" w:eastAsia="方正仿宋简体" w:cs="Nimbus Roman"/>
          <w:color w:val="000000"/>
          <w:sz w:val="32"/>
          <w:szCs w:val="32"/>
          <w:highlight w:val="none"/>
          <w:lang w:eastAsia="zh-CN"/>
        </w:rPr>
        <w:t>截至2025年12月底，龙湖区拥有公立医院（卫生院）5个，社区卫生服务中心3个（挂靠在龙湖、珠池、下蓬医院），民营医院17个，门诊部59个、诊所及其他378个，农村卫生站34个。全区执业（助理）医师数2220 人，注册护士数2246人，床位数2791张，每千人口占有床位4.29张。全区5家公立医院诊疗人数828267人次，同比下降0.97%；出院人数21208例，同比下降3.68%；医疗收入31976.2万元，同比减少5.07%。</w:t>
      </w:r>
    </w:p>
    <w:p w14:paraId="0A57FAAE">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体育方面。</w:t>
      </w:r>
      <w:r>
        <w:rPr>
          <w:rFonts w:hint="default" w:ascii="Nimbus Roman" w:hAnsi="Nimbus Roman" w:eastAsia="方正仿宋简体" w:cs="Nimbus Roman"/>
          <w:color w:val="000000"/>
          <w:sz w:val="32"/>
          <w:szCs w:val="32"/>
          <w:highlight w:val="none"/>
          <w:lang w:eastAsia="zh-CN"/>
        </w:rPr>
        <w:t>2025年，扎实开展体质监测，配合“市国民体质监测中心”，协调组织各街道组织成年（20-59周岁）受测者分两批次在翰苑和正大体育馆进行体质监测，目前已完成400余人检测工作。龙湖区文广体旅局全年主办全民健身赛事活动2场次，指导村居及社会组织主办的赛事活动3场次。积极响应对台交流合作号召，协助区委统战部做好2025年7月云林县篮球委员会来汕交流比赛相关工作。2025年举办健身气功（八段锦）三级社会体育指导员培训班，共计培训124人次。全年对辖区内村居的全民健身器材进行全覆盖巡查，截</w:t>
      </w:r>
      <w:r>
        <w:rPr>
          <w:rFonts w:hint="eastAsia" w:ascii="Nimbus Roman" w:hAnsi="Nimbus Roman" w:eastAsia="方正仿宋简体" w:cs="Nimbus Roman"/>
          <w:color w:val="000000"/>
          <w:sz w:val="32"/>
          <w:szCs w:val="32"/>
          <w:highlight w:val="none"/>
          <w:lang w:eastAsia="zh-CN"/>
        </w:rPr>
        <w:t>至</w:t>
      </w:r>
      <w:bookmarkStart w:id="0" w:name="_GoBack"/>
      <w:bookmarkEnd w:id="0"/>
      <w:r>
        <w:rPr>
          <w:rFonts w:hint="default" w:ascii="Nimbus Roman" w:hAnsi="Nimbus Roman" w:eastAsia="方正仿宋简体" w:cs="Nimbus Roman"/>
          <w:color w:val="000000"/>
          <w:sz w:val="32"/>
          <w:szCs w:val="32"/>
          <w:highlight w:val="none"/>
          <w:lang w:eastAsia="zh-CN"/>
        </w:rPr>
        <w:t>目前共发出提醒函1件，回头看检查情况反馈函1件，进一步督导属社区强化对健身器材的安全管理，对存在安全隐患的器材进行维修和拆除。</w:t>
      </w:r>
    </w:p>
    <w:p w14:paraId="4E6EA993">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eastAsia="方正仿宋简体"/>
          <w:color w:val="000000"/>
          <w:sz w:val="32"/>
          <w:szCs w:val="32"/>
          <w:highlight w:val="none"/>
          <w:lang w:eastAsia="zh-CN"/>
        </w:rPr>
      </w:pPr>
    </w:p>
    <w:p w14:paraId="08E7CD1B">
      <w:pPr>
        <w:pStyle w:val="25"/>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九、</w:t>
      </w:r>
      <w:r>
        <w:rPr>
          <w:rFonts w:hint="eastAsia" w:ascii="方正黑体简体" w:hAnsi="Times New Roman" w:eastAsia="方正黑体简体" w:cs="Times New Roman"/>
          <w:color w:val="000000"/>
          <w:sz w:val="32"/>
          <w:szCs w:val="32"/>
        </w:rPr>
        <w:t>人口、人民生活、社会保障和安全生产</w:t>
      </w:r>
    </w:p>
    <w:p w14:paraId="15E40F51">
      <w:pPr>
        <w:pStyle w:val="20"/>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Times New Roman" w:hAnsi="Times New Roman" w:eastAsia="方正仿宋简体" w:cs="Times New Roman"/>
          <w:color w:val="000000"/>
          <w:sz w:val="32"/>
          <w:szCs w:val="32"/>
        </w:rPr>
      </w:pPr>
    </w:p>
    <w:p w14:paraId="40C42D1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截至2025年11月30日，户籍总户数153658户，总人口544809人，其中乡村人口3238人。截至2025年12月底止</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户籍人口出生率8.89‰</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政策生育率全区为97.87%，死亡率为4.93‰，自然增长率为3.96‰。</w:t>
      </w:r>
    </w:p>
    <w:p w14:paraId="32F9815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2025年，龙湖区全体居民人均可支配收入52313元，增长3.8%，其中，城镇居民人均可支配收入52313元，增长3.8%。</w:t>
      </w:r>
    </w:p>
    <w:p w14:paraId="230E522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2025年实现城镇新增就业10421人，城镇失业人员再就业7159人，就业困难人员实现就业435人，促进创业886人，超额完成市下达的全年就业核心指标任务。</w:t>
      </w:r>
    </w:p>
    <w:p w14:paraId="3F51DB8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2025年龙湖区未发生较大以上生产安全责任事故，未发生亡人火灾和森林火灾。被上级督办调查的一般生产安全事故3起，其中龙祥街道周厝塭智能停车场“3•30”一般事故、新津街道骏荣大厦“7•6”一般事故已结案，外砂街道联业织造厂“11•16”一般事故仍在调查中。我区安全生产形势保持总体稳定。区三防指挥部共启动应急响应20次（防汛Ⅳ级应急响应7次、防汛Ⅲ级1次、防台风Ⅳ级应急响应6次、防台风Ⅲ级应急响应4次、防台风Ⅱ级应急响应2次），顺利完成防御“龙舟水”强降雨及台风“杨柳”“桦加沙”“米娜”等各项工作，没有出现对重要设施、重点区域的严重影响，未引发其他次生灾害，三防工作取得实在成效。</w:t>
      </w:r>
    </w:p>
    <w:p w14:paraId="143A2CC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截至2025年12月底</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龙湖区各险种参保人数分别为企业职工养老保险167710人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机关事业单位养老保险11818人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城乡居民养老保险144225人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失业保险117407人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工伤保险145264人。各险种缴费人数为企业职工养老保险128461人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机关事业单位养老保险8404人，城乡居民养老保险43522人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失业保险115678人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工伤保险145264人。截至2025年12月底，机关事业单位养老保险总收入26244.08万元，机关事业单位养老保险总支出26897.41万元，累计收支结余24395.97万元；城乡居民养老保险基金总收入15252.01万元，城乡居民养老保险基金总支出17142.44万元，累计收支结余22385.77万元。各项待遇实行100%社会化发放。2025年龙湖区参加职工基本医疗保险总人数155698人，其中灵活就业人数11208人，参加生育保险人数144490人。</w:t>
      </w:r>
    </w:p>
    <w:p w14:paraId="3147881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民生保障方面。</w:t>
      </w:r>
      <w:r>
        <w:rPr>
          <w:rFonts w:hint="default" w:ascii="Nimbus Roman" w:hAnsi="Nimbus Roman" w:eastAsia="方正仿宋简体" w:cs="Nimbus Roman"/>
          <w:color w:val="000000"/>
          <w:sz w:val="32"/>
          <w:szCs w:val="32"/>
        </w:rPr>
        <w:t>健全低收入人口动态监测平台，强化数据共享与主动发现，全年新增低保对象100户208人、特困供养人员4人，清退不符合条件对象279人，实现“应保尽保、应退尽退”。全年发放低保金2503.11万元、特困供养金60.91万元、临时救助金14.74万元，惠及困难群众1455户2923人。落实残疾人“两项补贴”政策，发放生活补贴332.06万元、护理补贴1494.39万元，覆盖残疾人4665人；开展“寒冬送温暖”、街面流浪乞讨人员救治救助联合行动12次，救助流浪乞讨人员1人。</w:t>
      </w:r>
    </w:p>
    <w:p w14:paraId="3E3DA86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婚姻登记服务方面。</w:t>
      </w:r>
      <w:r>
        <w:rPr>
          <w:rFonts w:hint="default" w:ascii="Nimbus Roman" w:hAnsi="Nimbus Roman" w:eastAsia="方正仿宋简体" w:cs="Nimbus Roman"/>
          <w:color w:val="000000"/>
          <w:sz w:val="32"/>
          <w:szCs w:val="32"/>
        </w:rPr>
        <w:t>规范婚姻登记服务，推行“全国通办”“预约办理”，办理婚姻登记5686对，群众满意度持续提升。深入推动婚俗改革，加大优秀婚俗文化服务供给，实施“和谐婚姻建设计划”，开展婚姻家庭辅导教育，对离婚冷静期内当事人开展婚姻危机干预等服务，全年共为110对当事人提供婚姻家庭辅导服务，成功劝回离婚当事人38对。</w:t>
      </w:r>
    </w:p>
    <w:p w14:paraId="486BEC3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养老服务方面。</w:t>
      </w:r>
      <w:r>
        <w:rPr>
          <w:rFonts w:hint="default" w:ascii="Nimbus Roman" w:hAnsi="Nimbus Roman" w:eastAsia="方正仿宋简体" w:cs="Nimbus Roman"/>
          <w:color w:val="000000"/>
          <w:sz w:val="32"/>
          <w:szCs w:val="32"/>
        </w:rPr>
        <w:t>机构养老方面，结合养老领域专项整治行动，2025年度动员辖区特困老人到粤康颐养中心入住，目前已入住特困老人二人。辖区的青溪健养园获评四星级养老机构，全市3家四星级养老机构中，龙湖已占2家。居家养老方面，2025年度在服务老年人1.2万人，全年提供上门服务2.4万件次，其中紧急援助35单。落实养老服务补贴政策，发放高龄津贴433.63万元，此外，通过政府购买服务形式，实施“高龄重度失能老年人照护保险”，为全区60周岁及以上户籍老年人提供意外伤害保障，牵头建设家庭养老床位，由养老机构定期上门提供专业护理服务，打通居家养老服务“最后一公里”。大力推进长者饭堂建设，全区26家长者饭堂全年受益老人超8万人次。大力推进适老化改造，解决老年人群众安全问题，2025年完成31户老人居家适老化个性化改造。社区养老方面，高效推进基层服务阵地全覆盖，充分发挥省级财政补助资金、区级福利彩票公益金效能，下拨400多万元用于街道（社区）居家养老服务中心（站）建设运营，目前全区10个街道实现综合养老服务中心全覆盖，126个社区均建成社区养老服务站。在“敬老月”活动中，组织爱心企业为全区1000多位困难老人发放棉被、电磁炉等30多个品种共1337件“微心愿”物资，总价值达20万元。</w:t>
      </w:r>
    </w:p>
    <w:p w14:paraId="5143B84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儿童关爱保护工作方面。</w:t>
      </w:r>
      <w:r>
        <w:rPr>
          <w:rFonts w:hint="default" w:ascii="Nimbus Roman" w:hAnsi="Nimbus Roman" w:eastAsia="方正仿宋简体" w:cs="Nimbus Roman"/>
          <w:color w:val="000000"/>
          <w:sz w:val="32"/>
          <w:szCs w:val="32"/>
        </w:rPr>
        <w:t>健全困境儿童保障体系，落实孤儿、事实无人抚养儿童基本生活保障政策，发放保障金57.78万元；开展留守儿童、困境儿童关爱行动，建立“一人一档”，配备儿童督导员10名、儿童主任126名，提供心理疏导、学业帮扶等服。举办“一路童行，有你有我”六一儿童节公益活动，为辖区困难儿童发放节日关爱金及礼物，总计金额达到24.2万元。同时，通过购买服务的方式，开展“星梦重塑、童伴同行 — 困境孤独症儿童全维成长行动”，为辖区7-8岁学龄符合条件的困境孤独症儿童提供救助补贴康复服务，助力困境孤独症儿童更好融入社会。</w:t>
      </w:r>
    </w:p>
    <w:p w14:paraId="47E2255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殡葬改革工作方面。</w:t>
      </w:r>
      <w:r>
        <w:rPr>
          <w:rFonts w:hint="default" w:ascii="Nimbus Roman" w:hAnsi="Nimbus Roman" w:eastAsia="方正仿宋简体" w:cs="Nimbus Roman"/>
          <w:color w:val="000000"/>
          <w:sz w:val="32"/>
          <w:szCs w:val="32"/>
        </w:rPr>
        <w:t>深化殡葬改革，落实殡葬基本服务保障政策，2025年1月至12月全区免除殡葬基本服务费用共2652例，减免服务费用</w:t>
      </w:r>
      <w:r>
        <w:rPr>
          <w:rFonts w:hint="eastAsia" w:ascii="Nimbus Roman" w:hAnsi="Nimbus Roman" w:eastAsia="方正仿宋简体" w:cs="Nimbus Roman"/>
          <w:color w:val="000000"/>
          <w:sz w:val="32"/>
          <w:szCs w:val="32"/>
          <w:lang w:eastAsia="zh-CN"/>
        </w:rPr>
        <w:t>约</w:t>
      </w:r>
      <w:r>
        <w:rPr>
          <w:rFonts w:hint="default" w:ascii="Nimbus Roman" w:hAnsi="Nimbus Roman" w:eastAsia="方正仿宋简体" w:cs="Nimbus Roman"/>
          <w:color w:val="000000"/>
          <w:sz w:val="32"/>
          <w:szCs w:val="32"/>
        </w:rPr>
        <w:t>242.2</w:t>
      </w:r>
      <w:r>
        <w:rPr>
          <w:rFonts w:hint="eastAsia" w:ascii="Nimbus Roman" w:hAnsi="Nimbus Roman" w:eastAsia="方正仿宋简体" w:cs="Nimbus Roman"/>
          <w:color w:val="000000"/>
          <w:sz w:val="32"/>
          <w:szCs w:val="32"/>
          <w:lang w:val="en-US" w:eastAsia="zh-CN"/>
        </w:rPr>
        <w:t>2</w:t>
      </w:r>
      <w:r>
        <w:rPr>
          <w:rFonts w:hint="default" w:ascii="Nimbus Roman" w:hAnsi="Nimbus Roman" w:eastAsia="方正仿宋简体" w:cs="Nimbus Roman"/>
          <w:color w:val="000000"/>
          <w:sz w:val="32"/>
          <w:szCs w:val="32"/>
        </w:rPr>
        <w:t>万元；结合专项整治行动，通过“减项降费优服务”，为群众减轻治丧负担</w:t>
      </w:r>
      <w:r>
        <w:rPr>
          <w:rFonts w:hint="eastAsia" w:ascii="Nimbus Roman" w:hAnsi="Nimbus Roman" w:eastAsia="方正仿宋简体" w:cs="Nimbus Roman"/>
          <w:color w:val="000000"/>
          <w:sz w:val="32"/>
          <w:szCs w:val="32"/>
          <w:lang w:eastAsia="zh-CN"/>
        </w:rPr>
        <w:t>约</w:t>
      </w:r>
      <w:r>
        <w:rPr>
          <w:rFonts w:hint="default" w:ascii="Nimbus Roman" w:hAnsi="Nimbus Roman" w:eastAsia="方正仿宋简体" w:cs="Nimbus Roman"/>
          <w:color w:val="000000"/>
          <w:sz w:val="32"/>
          <w:szCs w:val="32"/>
        </w:rPr>
        <w:t>7</w:t>
      </w:r>
      <w:r>
        <w:rPr>
          <w:rFonts w:hint="eastAsia" w:ascii="Nimbus Roman" w:hAnsi="Nimbus Roman" w:eastAsia="方正仿宋简体" w:cs="Nimbus Roman"/>
          <w:color w:val="000000"/>
          <w:sz w:val="32"/>
          <w:szCs w:val="32"/>
          <w:lang w:val="en-US" w:eastAsia="zh-CN"/>
        </w:rPr>
        <w:t>.</w:t>
      </w:r>
      <w:r>
        <w:rPr>
          <w:rFonts w:hint="default" w:ascii="Nimbus Roman" w:hAnsi="Nimbus Roman" w:eastAsia="方正仿宋简体" w:cs="Nimbus Roman"/>
          <w:color w:val="000000"/>
          <w:sz w:val="32"/>
          <w:szCs w:val="32"/>
        </w:rPr>
        <w:t>22</w:t>
      </w:r>
      <w:r>
        <w:rPr>
          <w:rFonts w:hint="eastAsia" w:ascii="Nimbus Roman" w:hAnsi="Nimbus Roman" w:eastAsia="方正仿宋简体" w:cs="Nimbus Roman"/>
          <w:color w:val="000000"/>
          <w:sz w:val="32"/>
          <w:szCs w:val="32"/>
          <w:lang w:eastAsia="zh-CN"/>
        </w:rPr>
        <w:t>万</w:t>
      </w:r>
      <w:r>
        <w:rPr>
          <w:rFonts w:hint="default" w:ascii="Nimbus Roman" w:hAnsi="Nimbus Roman" w:eastAsia="方正仿宋简体" w:cs="Nimbus Roman"/>
          <w:color w:val="000000"/>
          <w:sz w:val="32"/>
          <w:szCs w:val="32"/>
        </w:rPr>
        <w:t>元。并建立完善《骨灰楼安放信息常态化报送机制》等4项长效机制。</w:t>
      </w:r>
    </w:p>
    <w:p w14:paraId="7CD497F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公共服务方面。</w:t>
      </w:r>
      <w:r>
        <w:rPr>
          <w:rFonts w:hint="default" w:ascii="Nimbus Roman" w:hAnsi="Nimbus Roman" w:eastAsia="方正仿宋简体" w:cs="Nimbus Roman"/>
          <w:color w:val="000000"/>
          <w:sz w:val="32"/>
          <w:szCs w:val="32"/>
        </w:rPr>
        <w:t>一是区划地名管理规范。完成行政区划调整后续工作，规范地名命名、更名审批，清理整治不规范地名15处；完善地名信息库，更新地名数据320条；二是慈善事业蓬勃发展。协助开展“6·30”助力乡村振兴活动，动员社会组织奉献爱心，共募捐1.84亿元。牵头举行2025年助力“百千万工程”公益慈善助学金发放仪式，向全区146名困难家庭的学子发放助学金70.24万元；三是服务效能持续优化。深化“放管服”改革，打造民政分中心窗口，梳理民政政务服务事项，确保事项内容、办理程序等“一次性告知”，落实“首问负责制”，提升群众办事便利性。</w:t>
      </w:r>
    </w:p>
    <w:p w14:paraId="436A0ED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推进双拥工作方面。</w:t>
      </w:r>
      <w:r>
        <w:rPr>
          <w:rFonts w:hint="default" w:ascii="Nimbus Roman" w:hAnsi="Nimbus Roman" w:eastAsia="方正仿宋简体" w:cs="Nimbus Roman"/>
          <w:color w:val="000000"/>
          <w:sz w:val="32"/>
          <w:szCs w:val="32"/>
        </w:rPr>
        <w:t>2025年累计发放退伍军人优抚抚恤补助金约2400万元、驻区部队随军未就业家属生活补助约473万元、义务兵家庭和部分重点优抚对象优待金约873万元；接收安置符合政府安排工作退役士兵31人，发放困难企业军转干部生活补助金约600万元、自主就业退役士兵一次性补助金约505万元；开展驻区军警部队节日慰问活动赠品折计约35万元；开展立功受奖送喜报活动，为19名立三等功、1名立二等功现役军人家庭送喜报，并发放慰问金2.2万元。</w:t>
      </w:r>
    </w:p>
    <w:p w14:paraId="24866AA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国标楷体" w:hAnsi="国标楷体" w:eastAsia="国标楷体" w:cs="国标楷体"/>
          <w:color w:val="000000"/>
          <w:sz w:val="32"/>
          <w:szCs w:val="32"/>
        </w:rPr>
        <w:t>社会组织工作方面。</w:t>
      </w:r>
      <w:r>
        <w:rPr>
          <w:rFonts w:hint="default" w:ascii="Nimbus Roman" w:hAnsi="Nimbus Roman" w:eastAsia="方正仿宋简体" w:cs="Nimbus Roman"/>
          <w:color w:val="000000"/>
          <w:sz w:val="32"/>
          <w:szCs w:val="32"/>
        </w:rPr>
        <w:t>持续加大社会组织党组织建设力度，所属党组织由年初11个增加至21个，党组织覆盖率达到83.67%。规范社会组织登记管理工作，全年办结注册成立社会组织5家，变更登记事项27宗，换证50宗、注销登记15家。坚决推进 “僵尸型”社会组织的整治工作和打击非法社会组织力度。引导注销登记社会组织12家，对17家连续2年以上未按规定参加年报的社会组织启动了撤销登记的行政处罚。对1家使用已被撤销登记的社会团体名义继续进行活动的机构开展调查并依法依规处置。进一步强化制度创新，制定《关于印发《百社联百村—助力“百千万工程”专项行动工作方案（2025-20727年》的通知》，发动有爱心、有意愿、有条件的社会组织及其会员企业发挥行业资源优势，共开展帮扶活动89场次，帮扶资金投入约311.65万元，提供志愿服务力量近900人次。</w:t>
      </w:r>
    </w:p>
    <w:p w14:paraId="7084CDE8">
      <w:pPr>
        <w:pStyle w:val="20"/>
        <w:ind w:firstLine="640"/>
        <w:jc w:val="left"/>
        <w:rPr>
          <w:rFonts w:hint="eastAsia" w:ascii="Times New Roman" w:hAnsi="Times New Roman" w:eastAsia="方正仿宋简体" w:cs="Times New Roman"/>
          <w:b w:val="0"/>
          <w:bCs w:val="0"/>
          <w:kern w:val="2"/>
          <w:sz w:val="32"/>
          <w:szCs w:val="32"/>
          <w:lang w:val="en-US" w:eastAsia="zh-CN" w:bidi="ar-SA"/>
        </w:rPr>
      </w:pPr>
    </w:p>
    <w:p w14:paraId="65F02833">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rPr>
        <w:t>注：</w:t>
      </w:r>
    </w:p>
    <w:p w14:paraId="334A4ED8">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rPr>
        <w:t>1.</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公报中202</w:t>
      </w:r>
      <w:r>
        <w:rPr>
          <w:rFonts w:hint="default" w:ascii="Nimbus Roman" w:hAnsi="Nimbus Roman" w:eastAsia="方正仿宋简体" w:cs="Nimbus Roman"/>
          <w:color w:val="000000"/>
          <w:sz w:val="24"/>
          <w:lang w:val="en-US" w:eastAsia="zh-CN"/>
        </w:rPr>
        <w:t>5</w:t>
      </w:r>
      <w:r>
        <w:rPr>
          <w:rFonts w:hint="default" w:ascii="Nimbus Roman" w:hAnsi="Nimbus Roman" w:eastAsia="方正仿宋简体" w:cs="Nimbus Roman"/>
          <w:color w:val="000000"/>
          <w:sz w:val="24"/>
        </w:rPr>
        <w:t>年各项数据均为初步</w:t>
      </w:r>
      <w:r>
        <w:rPr>
          <w:rFonts w:hint="default" w:ascii="Nimbus Roman" w:hAnsi="Nimbus Roman" w:eastAsia="方正仿宋简体" w:cs="Nimbus Roman"/>
          <w:color w:val="000000"/>
          <w:sz w:val="24"/>
          <w:lang w:eastAsia="zh-CN"/>
        </w:rPr>
        <w:t>核算</w:t>
      </w:r>
      <w:r>
        <w:rPr>
          <w:rFonts w:hint="default" w:ascii="Nimbus Roman" w:hAnsi="Nimbus Roman" w:eastAsia="方正仿宋简体" w:cs="Nimbus Roman"/>
          <w:color w:val="000000"/>
          <w:sz w:val="24"/>
        </w:rPr>
        <w:t>数，往年数据为年报数。</w:t>
      </w:r>
    </w:p>
    <w:p w14:paraId="17F48DCA">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2</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公报中地区生产总值及各产业增加值、总产值均按现行价计算，增长速度按可比价格计算。</w:t>
      </w:r>
    </w:p>
    <w:p w14:paraId="67680480">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3</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从2020年起，全区经济指标数据（除财政外）包含高新区东片区。</w:t>
      </w:r>
    </w:p>
    <w:p w14:paraId="1C04B874">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4</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规模以上工业统计口径为年主营业务收入2000万元及以上的工业单位。</w:t>
      </w:r>
    </w:p>
    <w:p w14:paraId="42EBADE2">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5</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固定资产投资项目统计口径为各种登记注册类型的法人单位、个体经营户、其他单位进行的计划总投资500万元及以上项目，不包括农户投资。</w:t>
      </w:r>
    </w:p>
    <w:p w14:paraId="1AECF85F">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6</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限额以上批发和零售业统计口径为：批发业企业年主营业务收入2000万元及以上；零售业企业年主营业务收入500万元及以上。</w:t>
      </w:r>
    </w:p>
    <w:p w14:paraId="200CDD7D">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 xml:space="preserve">7. </w:t>
      </w:r>
      <w:r>
        <w:rPr>
          <w:rFonts w:hint="default" w:ascii="Nimbus Roman" w:hAnsi="Nimbus Roman" w:eastAsia="方正仿宋简体" w:cs="Nimbus Roman"/>
          <w:color w:val="000000"/>
          <w:sz w:val="24"/>
        </w:rPr>
        <w:t>规模以上服务业范围包括：年营业收入2000万元及以上的交通运输、仓储和邮政业，信息传输、软件和信息技术服务业，水利、环境和公共设施管理业，卫生行业法人单位；年营业收入1000万元及以上的房地产业（不含房地产开发经营），租赁和商务服务业，科学研究和技术服务业，教育行业法人单位；以及年营业收入500万元及以上的居民服务、修理和其他服务业，文化、体育和娱乐业，社会工作行业法人单位。</w:t>
      </w:r>
    </w:p>
    <w:p w14:paraId="283524FA">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方正仿宋简体" w:cs="Times New Roman"/>
          <w:color w:val="000000"/>
          <w:sz w:val="24"/>
        </w:rPr>
      </w:pPr>
    </w:p>
    <w:p w14:paraId="30E70F8F">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资料来源：</w:t>
      </w:r>
      <w:r>
        <w:rPr>
          <w:rFonts w:hint="eastAsia" w:ascii="Times New Roman" w:hAnsi="Times New Roman" w:eastAsia="方正仿宋简体" w:cs="Times New Roman"/>
          <w:color w:val="000000"/>
          <w:sz w:val="24"/>
        </w:rPr>
        <w:t>公报中城镇新增就业、登记失业率等数据来自区人力资源和社会保障局；财政数据来自区财政局；对外经济贸易数据来自区商务局；社会保险基金收入和养老、工伤和失业参保人数由汕头市社会保险基金管理局龙湖分局提供；医疗保险及生育参保人数由汕头市医疗保障局龙湖分局提供；文化、体育、旅游数据来自区文化广电旅游体育局；户籍数据来自汕头市公安局龙湖分局；医疗卫生、出生人口、出生率及自然增长率数据来自区卫生健康局；基本民生保障情况来自区民政局；教育数据来自区教育局；科技数据来自区工信局；专利数据来自区市场监管局；优抚安置和双拥数据来自区退役军人事务局；</w:t>
      </w:r>
      <w:r>
        <w:rPr>
          <w:rFonts w:hint="eastAsia" w:ascii="Times New Roman" w:hAnsi="Times New Roman" w:eastAsia="方正仿宋简体" w:cs="Times New Roman"/>
          <w:color w:val="000000"/>
          <w:sz w:val="24"/>
          <w:lang w:eastAsia="zh-CN"/>
        </w:rPr>
        <w:t>安全生产数据来自区应急管理局；</w:t>
      </w:r>
      <w:r>
        <w:rPr>
          <w:rFonts w:hint="eastAsia" w:ascii="Times New Roman" w:hAnsi="Times New Roman" w:eastAsia="方正仿宋简体" w:cs="Times New Roman"/>
          <w:color w:val="000000"/>
          <w:sz w:val="24"/>
        </w:rPr>
        <w:t>其他数据来自区统计局。</w:t>
      </w:r>
    </w:p>
    <w:p w14:paraId="553875B6">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方正仿宋简体" w:cs="Times New Roman"/>
          <w:color w:val="00000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CESI仿宋-GB13000"/>
    <w:panose1 w:val="02010609030101010101"/>
    <w:charset w:val="86"/>
    <w:family w:val="auto"/>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简体">
    <w:altName w:val="CESI小标宋-GB13000"/>
    <w:panose1 w:val="03000509000000000000"/>
    <w:charset w:val="86"/>
    <w:family w:val="script"/>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创艺简仿宋">
    <w:altName w:val="Droid Sans Fallback"/>
    <w:panose1 w:val="00000000000000000000"/>
    <w:charset w:val="86"/>
    <w:family w:val="auto"/>
    <w:pitch w:val="default"/>
    <w:sig w:usb0="00000000" w:usb1="00000000" w:usb2="00000000" w:usb3="00000000" w:csb0="00000000" w:csb1="00000000"/>
  </w:font>
  <w:font w:name="Nimbus Roman">
    <w:panose1 w:val="00000500000000000000"/>
    <w:charset w:val="00"/>
    <w:family w:val="auto"/>
    <w:pitch w:val="default"/>
    <w:sig w:usb0="00000287" w:usb1="00000800" w:usb2="00000000" w:usb3="00000000" w:csb0="6000009F" w:csb1="00000000"/>
  </w:font>
  <w:font w:name="方正楷体简体">
    <w:altName w:val="CESI楷体-GB13000"/>
    <w:panose1 w:val="03000509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楷体">
    <w:altName w:val="CESI楷体-GB13000"/>
    <w:panose1 w:val="02010609060101010101"/>
    <w:charset w:val="86"/>
    <w:family w:val="modern"/>
    <w:pitch w:val="default"/>
    <w:sig w:usb0="00000000" w:usb1="00000000" w:usb2="00000016" w:usb3="00000000" w:csb0="00040001" w:csb1="00000000"/>
  </w:font>
  <w:font w:name="方正黑体简体">
    <w:altName w:val="CESI黑体-GB13000"/>
    <w:panose1 w:val="03000509000000000000"/>
    <w:charset w:val="86"/>
    <w:family w:val="script"/>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仿宋简体">
    <w:altName w:val="CESI仿宋-GB13000"/>
    <w:panose1 w:val="02010601030101010101"/>
    <w:charset w:val="86"/>
    <w:family w:val="auto"/>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国标楷体">
    <w:panose1 w:val="02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6667">
    <w:pPr>
      <w:pStyle w:val="8"/>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92AE">
    <w:pPr>
      <w:pStyle w:val="8"/>
      <w:rPr>
        <w:rFonts w:hint="default" w:ascii="Nimbus Roman" w:hAnsi="Nimbus Roman" w:cs="Nimbus Roman"/>
        <w:sz w:val="28"/>
      </w:rPr>
    </w:pPr>
    <w:r>
      <w:rPr>
        <w:rFonts w:hint="default" w:ascii="Nimbus Roman" w:hAnsi="Nimbus Roman" w:cs="Nimbus Roman"/>
        <w:sz w:val="28"/>
      </w:rPr>
      <w:t xml:space="preserve">— </w:t>
    </w:r>
    <w:r>
      <w:rPr>
        <w:rFonts w:hint="default" w:ascii="Nimbus Roman" w:hAnsi="Nimbus Roman" w:cs="Nimbus Roman"/>
        <w:sz w:val="28"/>
      </w:rPr>
      <w:fldChar w:fldCharType="begin"/>
    </w:r>
    <w:r>
      <w:rPr>
        <w:rFonts w:hint="default" w:ascii="Nimbus Roman" w:hAnsi="Nimbus Roman" w:cs="Nimbus Roman"/>
        <w:sz w:val="28"/>
      </w:rPr>
      <w:instrText xml:space="preserve"> PAGE \* Arabic \* MERGEFORMAT </w:instrText>
    </w:r>
    <w:r>
      <w:rPr>
        <w:rFonts w:hint="default" w:ascii="Nimbus Roman" w:hAnsi="Nimbus Roman" w:cs="Nimbus Roman"/>
        <w:sz w:val="28"/>
      </w:rPr>
      <w:fldChar w:fldCharType="separate"/>
    </w:r>
    <w:r>
      <w:rPr>
        <w:rFonts w:hint="default" w:ascii="Nimbus Roman" w:hAnsi="Nimbus Roman" w:cs="Nimbus Roman"/>
        <w:sz w:val="28"/>
      </w:rPr>
      <w:t>2</w:t>
    </w:r>
    <w:r>
      <w:rPr>
        <w:rFonts w:hint="default" w:ascii="Nimbus Roman" w:hAnsi="Nimbus Roman" w:cs="Nimbus Roman"/>
        <w:sz w:val="28"/>
      </w:rPr>
      <w:fldChar w:fldCharType="end"/>
    </w:r>
    <w:r>
      <w:rPr>
        <w:rFonts w:hint="default" w:ascii="Nimbus Roman" w:hAnsi="Nimbus Roman" w:cs="Nimbus Roman"/>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B74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5B8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5216">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B14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WJkYTU3NmE2MTJhNGFiNGUzZWYyZTE4M2FlMTkifQ=="/>
    <w:docVar w:name="KSO_WPS_MARK_KEY" w:val="3c3de82b-ed8a-4ff4-85e0-6b2c69b422a9"/>
  </w:docVars>
  <w:rsids>
    <w:rsidRoot w:val="00172A27"/>
    <w:rsid w:val="000434E2"/>
    <w:rsid w:val="000A6DE3"/>
    <w:rsid w:val="000D5B09"/>
    <w:rsid w:val="001046A4"/>
    <w:rsid w:val="00172A27"/>
    <w:rsid w:val="001C7951"/>
    <w:rsid w:val="00277907"/>
    <w:rsid w:val="003E3571"/>
    <w:rsid w:val="00537EC9"/>
    <w:rsid w:val="0062149E"/>
    <w:rsid w:val="00652BA5"/>
    <w:rsid w:val="007B715F"/>
    <w:rsid w:val="00841570"/>
    <w:rsid w:val="008C507A"/>
    <w:rsid w:val="008D5449"/>
    <w:rsid w:val="008D6FD3"/>
    <w:rsid w:val="00931E2D"/>
    <w:rsid w:val="00994D47"/>
    <w:rsid w:val="00AF20A2"/>
    <w:rsid w:val="00B3223C"/>
    <w:rsid w:val="00B675C9"/>
    <w:rsid w:val="00BD49D4"/>
    <w:rsid w:val="00C204E7"/>
    <w:rsid w:val="00D521A6"/>
    <w:rsid w:val="00D944C7"/>
    <w:rsid w:val="00DA36C7"/>
    <w:rsid w:val="00EA4405"/>
    <w:rsid w:val="00F47597"/>
    <w:rsid w:val="01774331"/>
    <w:rsid w:val="02635FD6"/>
    <w:rsid w:val="06172009"/>
    <w:rsid w:val="07D05741"/>
    <w:rsid w:val="08E2116B"/>
    <w:rsid w:val="0A1D15D8"/>
    <w:rsid w:val="0A9A5D0D"/>
    <w:rsid w:val="0ADE6C7B"/>
    <w:rsid w:val="0AE234BF"/>
    <w:rsid w:val="0B665EB8"/>
    <w:rsid w:val="0BAE0D4C"/>
    <w:rsid w:val="0C016A05"/>
    <w:rsid w:val="0C19531E"/>
    <w:rsid w:val="0C1D5BE4"/>
    <w:rsid w:val="112E774A"/>
    <w:rsid w:val="14B7274B"/>
    <w:rsid w:val="16524D10"/>
    <w:rsid w:val="1C5728CD"/>
    <w:rsid w:val="1C961453"/>
    <w:rsid w:val="1CDE6641"/>
    <w:rsid w:val="1DA8492F"/>
    <w:rsid w:val="1DB218DC"/>
    <w:rsid w:val="1DCA746B"/>
    <w:rsid w:val="23BF50B1"/>
    <w:rsid w:val="2622231D"/>
    <w:rsid w:val="26C66366"/>
    <w:rsid w:val="275C2E52"/>
    <w:rsid w:val="27DF06C0"/>
    <w:rsid w:val="2A420B6A"/>
    <w:rsid w:val="2BF02509"/>
    <w:rsid w:val="2D8F2A70"/>
    <w:rsid w:val="2DCB3029"/>
    <w:rsid w:val="31432B68"/>
    <w:rsid w:val="33F7D062"/>
    <w:rsid w:val="34132346"/>
    <w:rsid w:val="349F39EF"/>
    <w:rsid w:val="35607543"/>
    <w:rsid w:val="3717241C"/>
    <w:rsid w:val="3843230B"/>
    <w:rsid w:val="390D7261"/>
    <w:rsid w:val="39A110A3"/>
    <w:rsid w:val="3B5A439C"/>
    <w:rsid w:val="3FB96AA5"/>
    <w:rsid w:val="40722CC7"/>
    <w:rsid w:val="40C369F2"/>
    <w:rsid w:val="411A75A9"/>
    <w:rsid w:val="44E0231D"/>
    <w:rsid w:val="472F42DE"/>
    <w:rsid w:val="47380AD5"/>
    <w:rsid w:val="478D2B07"/>
    <w:rsid w:val="48741329"/>
    <w:rsid w:val="48E67278"/>
    <w:rsid w:val="497E3B44"/>
    <w:rsid w:val="4BDF1120"/>
    <w:rsid w:val="4E916CE0"/>
    <w:rsid w:val="4EBD5DEA"/>
    <w:rsid w:val="53A930A5"/>
    <w:rsid w:val="563F7B07"/>
    <w:rsid w:val="56F53B27"/>
    <w:rsid w:val="59784B0A"/>
    <w:rsid w:val="59FD53C2"/>
    <w:rsid w:val="5A9A02EE"/>
    <w:rsid w:val="5AE90737"/>
    <w:rsid w:val="5BB57237"/>
    <w:rsid w:val="5C921539"/>
    <w:rsid w:val="5DF837D5"/>
    <w:rsid w:val="6059772E"/>
    <w:rsid w:val="62412C56"/>
    <w:rsid w:val="645C5CF2"/>
    <w:rsid w:val="6554277E"/>
    <w:rsid w:val="65BE2B7F"/>
    <w:rsid w:val="65E741F0"/>
    <w:rsid w:val="66366FFF"/>
    <w:rsid w:val="67217E22"/>
    <w:rsid w:val="67DE40F4"/>
    <w:rsid w:val="6C1921B9"/>
    <w:rsid w:val="6CAD6B2F"/>
    <w:rsid w:val="6D262ED3"/>
    <w:rsid w:val="6D4326F8"/>
    <w:rsid w:val="6DAA36C5"/>
    <w:rsid w:val="6DC36314"/>
    <w:rsid w:val="6E117C70"/>
    <w:rsid w:val="6E2E109E"/>
    <w:rsid w:val="70573A48"/>
    <w:rsid w:val="74332A4D"/>
    <w:rsid w:val="76686D97"/>
    <w:rsid w:val="76EB19A2"/>
    <w:rsid w:val="78A265FE"/>
    <w:rsid w:val="7A0216FE"/>
    <w:rsid w:val="7B741C44"/>
    <w:rsid w:val="7BF669F1"/>
    <w:rsid w:val="7C1B7990"/>
    <w:rsid w:val="7E3111DC"/>
    <w:rsid w:val="7FC45CCD"/>
    <w:rsid w:val="7FDE0268"/>
    <w:rsid w:val="9EF652F6"/>
    <w:rsid w:val="9FA62C02"/>
    <w:rsid w:val="DACF38BC"/>
    <w:rsid w:val="DFDF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880" w:firstLineChars="200"/>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Indent"/>
    <w:basedOn w:val="1"/>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1"/>
    <w:next w:val="1"/>
    <w:unhideWhenUsed/>
    <w:qFormat/>
    <w:uiPriority w:val="99"/>
    <w:pPr>
      <w:spacing w:line="560" w:lineRule="exact"/>
      <w:ind w:firstLine="420" w:firstLineChars="200"/>
    </w:pPr>
    <w:rPr>
      <w:sz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
    <w:name w:val="大标题"/>
    <w:basedOn w:val="1"/>
    <w:qFormat/>
    <w:uiPriority w:val="0"/>
    <w:pPr>
      <w:tabs>
        <w:tab w:val="left" w:pos="9000"/>
      </w:tabs>
      <w:spacing w:line="700" w:lineRule="exact"/>
      <w:jc w:val="center"/>
      <w:outlineLvl w:val="0"/>
    </w:pPr>
    <w:rPr>
      <w:rFonts w:ascii="方正小标宋简体" w:hAnsi="华文中宋" w:eastAsia="方正小标宋简体"/>
      <w:sz w:val="44"/>
      <w:szCs w:val="44"/>
    </w:rPr>
  </w:style>
  <w:style w:type="paragraph" w:customStyle="1" w:styleId="18">
    <w:name w:val="Char"/>
    <w:basedOn w:val="1"/>
    <w:qFormat/>
    <w:uiPriority w:val="0"/>
    <w:pPr>
      <w:widowControl/>
      <w:spacing w:after="160" w:line="240" w:lineRule="exact"/>
      <w:jc w:val="left"/>
    </w:pPr>
    <w:rPr>
      <w:rFonts w:eastAsia="创艺简仿宋"/>
      <w:color w:val="000000"/>
      <w:sz w:val="28"/>
      <w:szCs w:val="20"/>
    </w:rPr>
  </w:style>
  <w:style w:type="paragraph" w:customStyle="1" w:styleId="19">
    <w:name w:val="纯文本1"/>
    <w:basedOn w:val="1"/>
    <w:link w:val="22"/>
    <w:qFormat/>
    <w:uiPriority w:val="0"/>
    <w:rPr>
      <w:rFonts w:ascii="宋体" w:hAnsi="Courier New" w:cs="Courier New"/>
      <w:szCs w:val="21"/>
    </w:rPr>
  </w:style>
  <w:style w:type="paragraph" w:customStyle="1" w:styleId="20">
    <w:name w:val="纯文本11"/>
    <w:basedOn w:val="1"/>
    <w:qFormat/>
    <w:uiPriority w:val="0"/>
    <w:rPr>
      <w:rFonts w:ascii="宋体" w:hAnsi="Courier New" w:cs="Courier New"/>
      <w:szCs w:val="21"/>
    </w:rPr>
  </w:style>
  <w:style w:type="paragraph" w:customStyle="1" w:styleId="21">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2">
    <w:name w:val="纯文本 Char"/>
    <w:link w:val="19"/>
    <w:qFormat/>
    <w:uiPriority w:val="0"/>
    <w:rPr>
      <w:rFonts w:ascii="宋体" w:hAnsi="Courier New" w:cs="Courier New"/>
      <w:kern w:val="2"/>
      <w:sz w:val="21"/>
      <w:szCs w:val="21"/>
    </w:rPr>
  </w:style>
  <w:style w:type="character" w:customStyle="1" w:styleId="23">
    <w:name w:val="批注框文本 字符"/>
    <w:link w:val="7"/>
    <w:qFormat/>
    <w:uiPriority w:val="0"/>
    <w:rPr>
      <w:kern w:val="2"/>
      <w:sz w:val="18"/>
      <w:szCs w:val="18"/>
    </w:rPr>
  </w:style>
  <w:style w:type="character" w:customStyle="1" w:styleId="24">
    <w:name w:val="页码1"/>
    <w:basedOn w:val="13"/>
    <w:qFormat/>
    <w:uiPriority w:val="0"/>
  </w:style>
  <w:style w:type="paragraph" w:customStyle="1" w:styleId="25">
    <w:name w:val="纯文本2"/>
    <w:basedOn w:val="1"/>
    <w:qFormat/>
    <w:uiPriority w:val="0"/>
    <w:rPr>
      <w:rFonts w:ascii="宋体" w:hAnsi="Courier New" w:cs="Courier New" w:eastAsiaTheme="minorEastAsia"/>
      <w:szCs w:val="21"/>
    </w:rPr>
  </w:style>
  <w:style w:type="paragraph" w:customStyle="1" w:styleId="26">
    <w:name w:val="Plain Text"/>
    <w:basedOn w:val="1"/>
    <w:qFormat/>
    <w:uiPriority w:val="0"/>
    <w:rPr>
      <w:rFonts w:ascii="宋体" w:hAnsi="Courier New" w:cs="Courier New"/>
      <w:kern w:val="2"/>
      <w:sz w:val="21"/>
      <w:szCs w:val="21"/>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2.xml"/><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376;&#25253;&#21644;&#36164;&#26009;\&#20844;&#25253;\2025&#24180;&#40857;&#28246;&#21306;&#22269;&#27665;&#32463;&#27982;&#21644;&#31038;&#20250;&#21457;&#23637;&#32479;&#35745;&#20844;&#25253;\25&#20844;&#25253;&#22270;&#29255;&#21046;&#20316;.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6472;&#20234;&#28800;\&#32463;&#27982;&#32929;\&#24180;&#37492;&#12289;&#20844;&#25253;\2025&#24180;&#20844;&#25253;-&#23450;&#25253;&#25968;&#25454;\2025&#24180;&#20844;&#25253;&#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r>
              <a:rPr b="0">
                <a:latin typeface="Nimbus Roman" panose="00000500000000000000" charset="0"/>
                <a:ea typeface="Nimbus Roman" panose="00000500000000000000" charset="0"/>
                <a:cs typeface="Nimbus Roman" panose="00000500000000000000" charset="0"/>
                <a:sym typeface="Nimbus Roman" panose="00000500000000000000" charset="0"/>
              </a:rPr>
              <a:t>图</a:t>
            </a:r>
            <a:r>
              <a:rPr lang="en-US" altLang="zh-CN" b="0">
                <a:latin typeface="Nimbus Roman" panose="00000500000000000000" charset="0"/>
                <a:ea typeface="Nimbus Roman" panose="00000500000000000000" charset="0"/>
                <a:cs typeface="Nimbus Roman" panose="00000500000000000000" charset="0"/>
                <a:sym typeface="Nimbus Roman" panose="00000500000000000000" charset="0"/>
              </a:rPr>
              <a:t>2025</a:t>
            </a:r>
            <a:r>
              <a:rPr altLang="en-US" b="0">
                <a:latin typeface="Nimbus Roman" panose="00000500000000000000" charset="0"/>
                <a:ea typeface="Nimbus Roman" panose="00000500000000000000" charset="0"/>
                <a:cs typeface="Nimbus Roman" panose="00000500000000000000" charset="0"/>
                <a:sym typeface="Nimbus Roman" panose="00000500000000000000" charset="0"/>
              </a:rPr>
              <a:t>年规模以上工业主要产业产值情况</a:t>
            </a:r>
            <a:endParaRPr lang="en-US" altLang="zh-CN" b="0">
              <a:latin typeface="Nimbus Roman" panose="00000500000000000000" charset="0"/>
              <a:ea typeface="Nimbus Roman" panose="00000500000000000000" charset="0"/>
              <a:cs typeface="Nimbus Roman" panose="00000500000000000000" charset="0"/>
              <a:sym typeface="Nimbus Roman" panose="00000500000000000000" charset="0"/>
            </a:endParaRPr>
          </a:p>
        </c:rich>
      </c:tx>
      <c:layout>
        <c:manualLayout>
          <c:xMode val="edge"/>
          <c:yMode val="edge"/>
          <c:x val="0.204763986013986"/>
          <c:y val="0.0162387875038664"/>
        </c:manualLayout>
      </c:layout>
      <c:overlay val="0"/>
      <c:spPr>
        <a:noFill/>
        <a:ln>
          <a:noFill/>
        </a:ln>
        <a:effectLst/>
      </c:spPr>
    </c:title>
    <c:autoTitleDeleted val="0"/>
    <c:plotArea>
      <c:layout>
        <c:manualLayout>
          <c:layoutTarget val="inner"/>
          <c:xMode val="edge"/>
          <c:yMode val="edge"/>
          <c:x val="0.0432171478227286"/>
          <c:y val="0.140845070422535"/>
          <c:w val="0.883151491744714"/>
          <c:h val="0.684900802665455"/>
        </c:manualLayout>
      </c:layout>
      <c:barChart>
        <c:barDir val="col"/>
        <c:grouping val="clustered"/>
        <c:varyColors val="0"/>
        <c:ser>
          <c:idx val="0"/>
          <c:order val="0"/>
          <c:tx>
            <c:strRef>
              <c:f>Sheet1!$B$1</c:f>
              <c:strCache>
                <c:ptCount val="1"/>
                <c:pt idx="0">
                  <c:v>本月累计（亿元）</c:v>
                </c:pt>
              </c:strCache>
            </c:strRef>
          </c:tx>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dPt>
          <c:dPt>
            <c:idx val="1"/>
            <c:invertIfNegative val="0"/>
            <c:bubble3D val="0"/>
            <c:spPr>
              <a:solidFill>
                <a:schemeClr val="accent1">
                  <a:lumMod val="40000"/>
                  <a:lumOff val="60000"/>
                </a:schemeClr>
              </a:solidFill>
              <a:ln>
                <a:noFill/>
              </a:ln>
              <a:effectLst/>
            </c:spPr>
          </c:dPt>
          <c:dPt>
            <c:idx val="2"/>
            <c:invertIfNegative val="0"/>
            <c:bubble3D val="0"/>
            <c:spPr>
              <a:solidFill>
                <a:schemeClr val="accent1">
                  <a:lumMod val="40000"/>
                  <a:lumOff val="60000"/>
                </a:schemeClr>
              </a:solidFill>
              <a:ln>
                <a:noFill/>
              </a:ln>
              <a:effectLst/>
            </c:spPr>
          </c:dPt>
          <c:dPt>
            <c:idx val="3"/>
            <c:invertIfNegative val="0"/>
            <c:bubble3D val="0"/>
            <c:spPr>
              <a:solidFill>
                <a:schemeClr val="accent1">
                  <a:lumMod val="40000"/>
                  <a:lumOff val="60000"/>
                </a:schemeClr>
              </a:solidFill>
              <a:ln>
                <a:noFill/>
              </a:ln>
              <a:effectLst/>
            </c:spPr>
          </c:dPt>
          <c:dPt>
            <c:idx val="4"/>
            <c:invertIfNegative val="0"/>
            <c:bubble3D val="0"/>
            <c:spPr>
              <a:solidFill>
                <a:schemeClr val="accent1">
                  <a:lumMod val="40000"/>
                  <a:lumOff val="60000"/>
                </a:schemeClr>
              </a:solidFill>
              <a:ln>
                <a:noFill/>
              </a:ln>
              <a:effectLst/>
            </c:spPr>
          </c:dPt>
          <c:dPt>
            <c:idx val="5"/>
            <c:invertIfNegative val="0"/>
            <c:bubble3D val="0"/>
            <c:spPr>
              <a:solidFill>
                <a:schemeClr val="accent1">
                  <a:lumMod val="40000"/>
                  <a:lumOff val="60000"/>
                </a:schemeClr>
              </a:solidFill>
              <a:ln>
                <a:noFill/>
              </a:ln>
              <a:effectLst/>
            </c:spPr>
          </c:dPt>
          <c:dPt>
            <c:idx val="6"/>
            <c:invertIfNegative val="0"/>
            <c:bubble3D val="0"/>
            <c:spPr>
              <a:solidFill>
                <a:schemeClr val="accent1">
                  <a:lumMod val="40000"/>
                  <a:lumOff val="60000"/>
                </a:schemeClr>
              </a:solidFill>
              <a:ln>
                <a:noFill/>
              </a:ln>
              <a:effectLst/>
            </c:spPr>
          </c:dPt>
          <c:dLbls>
            <c:dLbl>
              <c:idx val="1"/>
              <c:layout>
                <c:manualLayout>
                  <c:x val="0.00144829583856329"/>
                  <c:y val="-0.0567923671058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35724570766056"/>
                  <c:y val="0.010364338601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34488751568987"/>
                  <c:y val="-0.05452067242162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0067535327358"/>
                  <c:y val="-0.01111820083661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57526896382182"/>
                  <c:y val="0.023014178748114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744564677851683"/>
                  <c:y val="-0.0570428962579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纺织服装</c:v>
                </c:pt>
                <c:pt idx="1">
                  <c:v>生物医药</c:v>
                </c:pt>
                <c:pt idx="2">
                  <c:v>化工塑料</c:v>
                </c:pt>
                <c:pt idx="3">
                  <c:v>现代输配电</c:v>
                </c:pt>
                <c:pt idx="4">
                  <c:v>现代机械装备</c:v>
                </c:pt>
                <c:pt idx="5">
                  <c:v>高端电子信息</c:v>
                </c:pt>
                <c:pt idx="6">
                  <c:v>食品饮料</c:v>
                </c:pt>
              </c:strCache>
            </c:strRef>
          </c:cat>
          <c:val>
            <c:numRef>
              <c:f>Sheet1!$B$2:$B$8</c:f>
              <c:numCache>
                <c:formatCode>0.00</c:formatCode>
                <c:ptCount val="7"/>
                <c:pt idx="0">
                  <c:v>21.579</c:v>
                </c:pt>
                <c:pt idx="1">
                  <c:v>22.7587</c:v>
                </c:pt>
                <c:pt idx="2">
                  <c:v>33.4371</c:v>
                </c:pt>
                <c:pt idx="3">
                  <c:v>32.8953</c:v>
                </c:pt>
                <c:pt idx="4">
                  <c:v>17.5287</c:v>
                </c:pt>
                <c:pt idx="5">
                  <c:v>48.079</c:v>
                </c:pt>
                <c:pt idx="6">
                  <c:v>23.7429</c:v>
                </c:pt>
              </c:numCache>
            </c:numRef>
          </c:val>
        </c:ser>
        <c:dLbls>
          <c:showLegendKey val="0"/>
          <c:showVal val="1"/>
          <c:showCatName val="0"/>
          <c:showSerName val="0"/>
          <c:showPercent val="0"/>
          <c:showBubbleSize val="0"/>
        </c:dLbls>
        <c:gapWidth val="219"/>
        <c:overlap val="-27"/>
        <c:axId val="608373446"/>
        <c:axId val="46236184"/>
      </c:barChart>
      <c:lineChart>
        <c:grouping val="standard"/>
        <c:varyColors val="0"/>
        <c:ser>
          <c:idx val="1"/>
          <c:order val="1"/>
          <c:tx>
            <c:strRef>
              <c:f>Sheet1!$C$1</c:f>
              <c:strCache>
                <c:ptCount val="1"/>
                <c:pt idx="0">
                  <c:v>增速（%）
</c:v>
                </c:pt>
              </c:strCache>
            </c:strRef>
          </c:tx>
          <c:spPr>
            <a:ln w="28575" cap="rnd">
              <a:solidFill>
                <a:schemeClr val="accent2"/>
              </a:solidFill>
              <a:round/>
            </a:ln>
            <a:effectLst/>
          </c:spPr>
          <c:marker>
            <c:symbol val="none"/>
          </c:marker>
          <c:dLbls>
            <c:dLbl>
              <c:idx val="1"/>
              <c:layout>
                <c:manualLayout>
                  <c:x val="0.00579318335425316"/>
                  <c:y val="0.020445252158109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20169858480258"/>
                  <c:y val="0.038882910242723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65929156472716"/>
                  <c:y val="0.05043712172158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40672167163995"/>
                  <c:y val="-0.07741587269089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30826507818317"/>
                  <c:y val="0.042030934767989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纺织服装</c:v>
                </c:pt>
                <c:pt idx="1">
                  <c:v>生物医药</c:v>
                </c:pt>
                <c:pt idx="2">
                  <c:v>化工塑料</c:v>
                </c:pt>
                <c:pt idx="3">
                  <c:v>现代输配电</c:v>
                </c:pt>
                <c:pt idx="4">
                  <c:v>现代机械装备</c:v>
                </c:pt>
                <c:pt idx="5">
                  <c:v>高端电子信息</c:v>
                </c:pt>
                <c:pt idx="6">
                  <c:v>食品饮料</c:v>
                </c:pt>
              </c:strCache>
            </c:strRef>
          </c:cat>
          <c:val>
            <c:numRef>
              <c:f>Sheet1!$C$2:$C$8</c:f>
              <c:numCache>
                <c:formatCode>0.0</c:formatCode>
                <c:ptCount val="7"/>
                <c:pt idx="0">
                  <c:v>-34.6355376082636</c:v>
                </c:pt>
                <c:pt idx="1">
                  <c:v>-15.0278097009202</c:v>
                </c:pt>
                <c:pt idx="2">
                  <c:v>-13.2180222093387</c:v>
                </c:pt>
                <c:pt idx="3">
                  <c:v>-15.4704730311316</c:v>
                </c:pt>
                <c:pt idx="4">
                  <c:v>-13.0526709178628</c:v>
                </c:pt>
                <c:pt idx="5">
                  <c:v>8.68862005556934</c:v>
                </c:pt>
                <c:pt idx="6">
                  <c:v>-19.7595641838376</c:v>
                </c:pt>
              </c:numCache>
            </c:numRef>
          </c:val>
          <c:smooth val="0"/>
        </c:ser>
        <c:dLbls>
          <c:showLegendKey val="0"/>
          <c:showVal val="1"/>
          <c:showCatName val="0"/>
          <c:showSerName val="0"/>
          <c:showPercent val="0"/>
          <c:showBubbleSize val="0"/>
        </c:dLbls>
        <c:marker val="0"/>
        <c:smooth val="0"/>
        <c:axId val="648825269"/>
        <c:axId val="130322883"/>
      </c:lineChart>
      <c:catAx>
        <c:axId val="6083734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46236184"/>
        <c:crosses val="autoZero"/>
        <c:auto val="1"/>
        <c:lblAlgn val="ctr"/>
        <c:lblOffset val="100"/>
        <c:noMultiLvlLbl val="0"/>
      </c:catAx>
      <c:valAx>
        <c:axId val="4623618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608373446"/>
        <c:crosses val="autoZero"/>
        <c:crossBetween val="between"/>
      </c:valAx>
      <c:catAx>
        <c:axId val="64882526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130322883"/>
        <c:crosses val="autoZero"/>
        <c:auto val="1"/>
        <c:lblAlgn val="ctr"/>
        <c:lblOffset val="100"/>
        <c:noMultiLvlLbl val="0"/>
      </c:catAx>
      <c:valAx>
        <c:axId val="130322883"/>
        <c:scaling>
          <c:orientation val="minMax"/>
        </c:scaling>
        <c:delete val="0"/>
        <c:axPos val="r"/>
        <c:numFmt formatCode="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648825269"/>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legendEntry>
      <c:layout>
        <c:manualLayout>
          <c:xMode val="edge"/>
          <c:yMode val="edge"/>
          <c:x val="0.317081081081081"/>
          <c:y val="0.926109528878771"/>
          <c:w val="0.365837837837838"/>
          <c:h val="0.05072708826513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legend>
    <c:plotVisOnly val="1"/>
    <c:dispBlanksAs val="gap"/>
    <c:showDLblsOverMax val="0"/>
    <c:extLst>
      <c:ext uri="{0b15fc19-7d7d-44ad-8c2d-2c3a37ce22c3}">
        <chartProps xmlns="https://web.wps.cn/et/2018/main" chartId="{f75775dc-6e9e-4894-b340-b57564ce9f6b}"/>
      </c:ext>
    </c:extLst>
  </c:chart>
  <c:spPr>
    <a:solidFill>
      <a:schemeClr val="bg1"/>
    </a:solidFill>
    <a:ln w="9525" cap="flat" cmpd="sng" algn="ctr">
      <a:solidFill>
        <a:schemeClr val="tx1">
          <a:lumMod val="15000"/>
          <a:lumOff val="85000"/>
        </a:schemeClr>
      </a:solidFill>
      <a:round/>
    </a:ln>
    <a:effectLst/>
  </c:spPr>
  <c:txPr>
    <a:bodyPr/>
    <a:lstStyle/>
    <a:p>
      <a:pPr>
        <a:defRPr lang="zh-CN">
          <a:latin typeface="Nimbus Roman" panose="00000500000000000000" charset="0"/>
          <a:ea typeface="Nimbus Roman" panose="00000500000000000000" charset="0"/>
          <a:cs typeface="Nimbus Roman" panose="00000500000000000000" charset="0"/>
          <a:sym typeface="Nimbus Roman" panose="00000500000000000000"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defRPr>
            </a:pPr>
            <a:r>
              <a:rPr altLang="en-US">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rPr>
              <a:t>图   </a:t>
            </a:r>
            <a:r>
              <a:rPr lang="en-US" altLang="zh-CN">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rPr>
              <a:t>2025</a:t>
            </a:r>
            <a:r>
              <a:rPr altLang="en-US">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rPr>
              <a:t>年限额以上批发零售业主要行业数据情况</a:t>
            </a:r>
            <a:endParaRPr altLang="en-US">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endParaRPr>
          </a:p>
        </c:rich>
      </c:tx>
      <c:layout>
        <c:manualLayout>
          <c:xMode val="edge"/>
          <c:yMode val="edge"/>
          <c:x val="0.0554331447635402"/>
          <c:y val="0.0275028795462251"/>
        </c:manualLayout>
      </c:layout>
      <c:overlay val="0"/>
      <c:spPr>
        <a:noFill/>
        <a:ln>
          <a:noFill/>
        </a:ln>
        <a:effectLst/>
      </c:spPr>
    </c:title>
    <c:autoTitleDeleted val="0"/>
    <c:plotArea>
      <c:layout>
        <c:manualLayout>
          <c:layoutTarget val="inner"/>
          <c:xMode val="edge"/>
          <c:yMode val="edge"/>
          <c:x val="0.0682463253928028"/>
          <c:y val="0.130208333333333"/>
          <c:w val="0.696968692736559"/>
          <c:h val="0.367604166666667"/>
        </c:manualLayout>
      </c:layout>
      <c:barChart>
        <c:barDir val="col"/>
        <c:grouping val="clustered"/>
        <c:varyColors val="0"/>
        <c:ser>
          <c:idx val="0"/>
          <c:order val="0"/>
          <c:tx>
            <c:strRef>
              <c:f>[2025年公报图片.xlsx]Sheet3!$P$4</c:f>
              <c:strCache>
                <c:ptCount val="1"/>
                <c:pt idx="0">
                  <c:v>全年销售额（亿元）</c:v>
                </c:pt>
              </c:strCache>
            </c:strRef>
          </c:tx>
          <c:spPr>
            <a:solidFill>
              <a:schemeClr val="accent1">
                <a:lumMod val="40000"/>
                <a:lumOff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[2025年公报图片.xlsx]Sheet3!$O$5:$O$11</c:f>
              <c:strCache>
                <c:ptCount val="7"/>
                <c:pt idx="0">
                  <c:v>矿产品、建材及化工产品批发</c:v>
                </c:pt>
                <c:pt idx="1">
                  <c:v>食品、饮料及烟草制品批发</c:v>
                </c:pt>
                <c:pt idx="2">
                  <c:v>机械设备、五金产品及电子产品批发</c:v>
                </c:pt>
                <c:pt idx="3">
                  <c:v>汽车、摩托车、零配件和燃料及其他动力销售</c:v>
                </c:pt>
                <c:pt idx="4">
                  <c:v>文化、体育用品及器材批发</c:v>
                </c:pt>
                <c:pt idx="5">
                  <c:v>医药及医疗器材批发</c:v>
                </c:pt>
                <c:pt idx="6">
                  <c:v>纺织、服装及家庭用品批发</c:v>
                </c:pt>
              </c:strCache>
            </c:strRef>
          </c:cat>
          <c:val>
            <c:numRef>
              <c:f>[2025年公报图片.xlsx]Sheet3!$P$5:$P$11</c:f>
              <c:numCache>
                <c:formatCode>0.00_ </c:formatCode>
                <c:ptCount val="7"/>
                <c:pt idx="0">
                  <c:v>407.3214</c:v>
                </c:pt>
                <c:pt idx="1">
                  <c:v>131.58326</c:v>
                </c:pt>
                <c:pt idx="2">
                  <c:v>117.96849</c:v>
                </c:pt>
                <c:pt idx="3">
                  <c:v>102.1641</c:v>
                </c:pt>
                <c:pt idx="4">
                  <c:v>98.23255</c:v>
                </c:pt>
                <c:pt idx="5">
                  <c:v>86.88753</c:v>
                </c:pt>
                <c:pt idx="6">
                  <c:v>17.07526</c:v>
                </c:pt>
              </c:numCache>
            </c:numRef>
          </c:val>
        </c:ser>
        <c:dLbls>
          <c:showLegendKey val="0"/>
          <c:showVal val="1"/>
          <c:showCatName val="0"/>
          <c:showSerName val="0"/>
          <c:showPercent val="0"/>
          <c:showBubbleSize val="0"/>
        </c:dLbls>
        <c:gapWidth val="57"/>
        <c:overlap val="-69"/>
        <c:axId val="827361130"/>
        <c:axId val="540343577"/>
      </c:barChart>
      <c:lineChart>
        <c:grouping val="standard"/>
        <c:varyColors val="0"/>
        <c:ser>
          <c:idx val="1"/>
          <c:order val="1"/>
          <c:tx>
            <c:strRef>
              <c:f>[2025年公报图片.xlsx]Sheet3!$Q$4</c:f>
              <c:strCache>
                <c:ptCount val="1"/>
                <c:pt idx="0">
                  <c:v>全年增速</c:v>
                </c:pt>
              </c:strCache>
            </c:strRef>
          </c:tx>
          <c:spPr>
            <a:ln w="19050" cap="rnd">
              <a:solidFill>
                <a:srgbClr val="92D050"/>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[2025年公报图片.xlsx]Sheet3!$O$5:$O$11</c:f>
              <c:strCache>
                <c:ptCount val="7"/>
                <c:pt idx="0">
                  <c:v>矿产品、建材及化工产品批发</c:v>
                </c:pt>
                <c:pt idx="1">
                  <c:v>食品、饮料及烟草制品批发</c:v>
                </c:pt>
                <c:pt idx="2">
                  <c:v>机械设备、五金产品及电子产品批发</c:v>
                </c:pt>
                <c:pt idx="3">
                  <c:v>汽车、摩托车、零配件和燃料及其他动力销售</c:v>
                </c:pt>
                <c:pt idx="4">
                  <c:v>文化、体育用品及器材批发</c:v>
                </c:pt>
                <c:pt idx="5">
                  <c:v>医药及医疗器材批发</c:v>
                </c:pt>
                <c:pt idx="6">
                  <c:v>纺织、服装及家庭用品批发</c:v>
                </c:pt>
              </c:strCache>
            </c:strRef>
          </c:cat>
          <c:val>
            <c:numRef>
              <c:f>[2025年公报图片.xlsx]Sheet3!$Q$5:$Q$11</c:f>
              <c:numCache>
                <c:formatCode>0.0%</c:formatCode>
                <c:ptCount val="7"/>
                <c:pt idx="0">
                  <c:v>-0.107363593892768</c:v>
                </c:pt>
                <c:pt idx="1">
                  <c:v>-0.10044286265105</c:v>
                </c:pt>
                <c:pt idx="2">
                  <c:v>-0.073986279875746</c:v>
                </c:pt>
                <c:pt idx="3">
                  <c:v>-0.188076682030814</c:v>
                </c:pt>
                <c:pt idx="4">
                  <c:v>0.466851261439926</c:v>
                </c:pt>
                <c:pt idx="5">
                  <c:v>-0.49460164065731</c:v>
                </c:pt>
                <c:pt idx="6">
                  <c:v>-0.26184499197012</c:v>
                </c:pt>
              </c:numCache>
            </c:numRef>
          </c:val>
          <c:smooth val="0"/>
        </c:ser>
        <c:dLbls>
          <c:showLegendKey val="0"/>
          <c:showVal val="1"/>
          <c:showCatName val="0"/>
          <c:showSerName val="0"/>
          <c:showPercent val="0"/>
          <c:showBubbleSize val="0"/>
        </c:dLbls>
        <c:marker val="1"/>
        <c:smooth val="0"/>
        <c:axId val="257001804"/>
        <c:axId val="604860037"/>
      </c:lineChart>
      <c:catAx>
        <c:axId val="8273611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0" spcFirstLastPara="0" vertOverflow="ellipsis" vert="eaVert" wrap="square" anchor="ctr" anchorCtr="0"/>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540343577"/>
        <c:crosses val="autoZero"/>
        <c:auto val="1"/>
        <c:lblAlgn val="ctr"/>
        <c:lblOffset val="100"/>
        <c:noMultiLvlLbl val="0"/>
      </c:catAx>
      <c:valAx>
        <c:axId val="540343577"/>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effectLst>
                  <a:outerShdw blurRad="38100" dist="19050" dir="2700000" algn="tl" rotWithShape="0">
                    <a:schemeClr val="dk1">
                      <a:alpha val="40000"/>
                    </a:schemeClr>
                  </a:outerShdw>
                </a:effectLst>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827361130"/>
        <c:crosses val="autoZero"/>
        <c:crossBetween val="between"/>
      </c:valAx>
      <c:catAx>
        <c:axId val="25700180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604860037"/>
        <c:crosses val="autoZero"/>
        <c:auto val="1"/>
        <c:lblAlgn val="ctr"/>
        <c:lblOffset val="100"/>
        <c:noMultiLvlLbl val="0"/>
      </c:catAx>
      <c:valAx>
        <c:axId val="604860037"/>
        <c:scaling>
          <c:orientation val="minMax"/>
        </c:scaling>
        <c:delete val="0"/>
        <c:axPos val="r"/>
        <c:numFmt formatCode="0.0%" sourceLinked="1"/>
        <c:majorTickMark val="out"/>
        <c:minorTickMark val="none"/>
        <c:tickLblPos val="nextTo"/>
        <c:spPr>
          <a:solidFill>
            <a:schemeClr val="bg1"/>
          </a:solidFill>
          <a:ln>
            <a:noFill/>
          </a:ln>
          <a:effectLst/>
        </c:spPr>
        <c:txPr>
          <a:bodyPr rot="-60000000" spcFirstLastPara="0" vertOverflow="ellipsis" vert="horz" wrap="square" anchor="ctr" anchorCtr="1"/>
          <a:lstStyle/>
          <a:p>
            <a:pPr>
              <a:defRPr lang="zh-CN" sz="900" b="0" i="0" u="none" strike="noStrike" kern="1200" baseline="0">
                <a:solidFill>
                  <a:schemeClr val="tx1"/>
                </a:solidFill>
                <a:effectLst>
                  <a:outerShdw blurRad="38100" dist="19050" dir="2700000" algn="tl" rotWithShape="0">
                    <a:schemeClr val="dk1">
                      <a:alpha val="40000"/>
                    </a:schemeClr>
                  </a:outerShdw>
                </a:effectLst>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257001804"/>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legendEntry>
      <c:layout>
        <c:manualLayout>
          <c:xMode val="edge"/>
          <c:yMode val="edge"/>
          <c:x val="0.554604655308384"/>
          <c:y val="0.8977600734491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legend>
    <c:plotVisOnly val="1"/>
    <c:dispBlanksAs val="gap"/>
    <c:showDLblsOverMax val="0"/>
    <c:extLst>
      <c:ext uri="{0b15fc19-7d7d-44ad-8c2d-2c3a37ce22c3}">
        <chartProps xmlns="https://web.wps.cn/et/2018/main" chartId="{e64a8471-9a14-4d89-818c-6dc02d565d7f}"/>
      </c:ext>
    </c:extLst>
  </c:chart>
  <c:spPr>
    <a:solidFill>
      <a:schemeClr val="bg1"/>
    </a:solidFill>
    <a:ln w="9525" cap="flat" cmpd="sng" algn="ctr">
      <a:noFill/>
      <a:round/>
    </a:ln>
    <a:effectLst/>
  </c:spPr>
  <c:txPr>
    <a:bodyPr rot="5400000" vert="horz"/>
    <a:lstStyle/>
    <a:p>
      <a:pPr>
        <a:defRPr lang="zh-CN">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5520</Words>
  <Characters>6540</Characters>
  <Lines>44</Lines>
  <Paragraphs>12</Paragraphs>
  <TotalTime>0</TotalTime>
  <ScaleCrop>false</ScaleCrop>
  <LinksUpToDate>false</LinksUpToDate>
  <CharactersWithSpaces>6602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2018-04-20T04:03:00Z</dcterms:created>
  <dc:creator>微软用户</dc:creator>
  <cp:lastModifiedBy>瑶璇Lee</cp:lastModifiedBy>
  <cp:lastPrinted>2026-04-21T11:37:00Z</cp:lastPrinted>
  <dcterms:modified xsi:type="dcterms:W3CDTF">2026-05-29T09:20:52Z</dcterms:modified>
  <dc:title>user</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86AD6006A5F63D86B7D5E16911C957F6_43</vt:lpwstr>
  </property>
</Properties>
</file>