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trike w:val="0"/>
          <w:dstrike w:val="0"/>
          <w:color w:val="auto"/>
          <w:sz w:val="45"/>
          <w:szCs w:val="45"/>
        </w:rPr>
      </w:pPr>
      <w:r>
        <w:rPr>
          <w:rFonts w:hint="eastAsia" w:ascii="方正小标宋简体" w:hAnsi="方正小标宋简体" w:eastAsia="方正小标宋简体" w:cs="方正小标宋简体"/>
          <w:color w:val="9E9E9E"/>
        </w:rPr>
        <w:drawing>
          <wp:inline distT="0" distB="0" distL="114300" distR="114300">
            <wp:extent cx="152400" cy="114300"/>
            <wp:effectExtent l="0" t="0" r="0" b="0"/>
            <wp:docPr id="1" name="图片 1" descr="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1" hidden="1"/>
                    <pic:cNvPicPr>
                      <a:picLocks noGrp="1" noChangeAspect="1"/>
                    </pic:cNvPicPr>
                  </pic:nvPicPr>
                  <pic:blipFill>
                    <a:blip r:embed="rId4"/>
                    <a:stretch>
                      <a:fillRect/>
                    </a:stretch>
                  </pic:blipFill>
                  <pic:spPr>
                    <a:xfrm>
                      <a:off x="0" y="0"/>
                      <a:ext cx="152400" cy="114300"/>
                    </a:xfrm>
                    <a:prstGeom prst="rect">
                      <a:avLst/>
                    </a:prstGeom>
                    <a:noFill/>
                    <a:ln>
                      <a:noFill/>
                    </a:ln>
                  </pic:spPr>
                </pic:pic>
              </a:graphicData>
            </a:graphic>
          </wp:inline>
        </w:drawing>
      </w:r>
      <w:r>
        <w:rPr>
          <w:rFonts w:hint="eastAsia" w:ascii="方正小标宋简体" w:hAnsi="方正小标宋简体" w:eastAsia="方正小标宋简体" w:cs="方正小标宋简体"/>
          <w:strike w:val="0"/>
          <w:dstrike w:val="0"/>
          <w:color w:val="auto"/>
          <w:sz w:val="45"/>
          <w:szCs w:val="45"/>
          <w:lang w:eastAsia="zh-CN"/>
        </w:rPr>
        <w:t>龙湖区</w:t>
      </w:r>
      <w:r>
        <w:rPr>
          <w:rFonts w:hint="eastAsia" w:ascii="方正小标宋简体" w:hAnsi="方正小标宋简体" w:eastAsia="方正小标宋简体" w:cs="方正小标宋简体"/>
          <w:strike w:val="0"/>
          <w:dstrike w:val="0"/>
          <w:color w:val="auto"/>
          <w:sz w:val="45"/>
          <w:szCs w:val="45"/>
        </w:rPr>
        <w:t>第四次全国经济普查公报（第二号）</w:t>
      </w:r>
    </w:p>
    <w:p>
      <w:pPr>
        <w:pStyle w:val="2"/>
        <w:spacing w:line="567" w:lineRule="atLeast"/>
        <w:jc w:val="center"/>
        <w:rPr>
          <w:rFonts w:hint="eastAsia" w:ascii="楷体" w:hAnsi="楷体" w:eastAsia="楷体" w:cs="楷体"/>
          <w:color w:val="4C5157"/>
          <w:sz w:val="32"/>
          <w:szCs w:val="32"/>
        </w:rPr>
      </w:pPr>
      <w:r>
        <w:rPr>
          <w:rFonts w:hint="eastAsia" w:ascii="楷体" w:hAnsi="楷体" w:eastAsia="楷体" w:cs="楷体"/>
          <w:color w:val="4C5157"/>
          <w:sz w:val="32"/>
          <w:szCs w:val="32"/>
        </w:rPr>
        <w:t>——单位基本情况</w:t>
      </w:r>
    </w:p>
    <w:p>
      <w:pPr>
        <w:pStyle w:val="2"/>
        <w:spacing w:line="567" w:lineRule="atLeast"/>
        <w:jc w:val="center"/>
        <w:rPr>
          <w:rFonts w:hint="eastAsia" w:ascii="楷体" w:hAnsi="楷体" w:eastAsia="楷体" w:cs="楷体"/>
          <w:color w:val="4C5157"/>
          <w:sz w:val="32"/>
          <w:szCs w:val="32"/>
        </w:rPr>
      </w:pPr>
      <w:r>
        <w:rPr>
          <w:rFonts w:hint="eastAsia" w:ascii="楷体" w:hAnsi="楷体" w:eastAsia="楷体" w:cs="楷体"/>
          <w:color w:val="4C5157"/>
          <w:sz w:val="32"/>
          <w:szCs w:val="32"/>
        </w:rPr>
        <w:t>汕头</w:t>
      </w:r>
      <w:r>
        <w:rPr>
          <w:rFonts w:hint="eastAsia" w:ascii="楷体" w:hAnsi="楷体" w:eastAsia="楷体" w:cs="楷体"/>
          <w:color w:val="4C5157"/>
          <w:sz w:val="32"/>
          <w:szCs w:val="32"/>
          <w:lang w:eastAsia="zh-CN"/>
        </w:rPr>
        <w:t>市龙湖区</w:t>
      </w:r>
      <w:r>
        <w:rPr>
          <w:rFonts w:hint="eastAsia" w:ascii="楷体" w:hAnsi="楷体" w:eastAsia="楷体" w:cs="楷体"/>
          <w:color w:val="4C5157"/>
          <w:sz w:val="32"/>
          <w:szCs w:val="32"/>
        </w:rPr>
        <w:t>统计局</w:t>
      </w:r>
    </w:p>
    <w:p>
      <w:pPr>
        <w:pStyle w:val="2"/>
        <w:jc w:val="center"/>
        <w:rPr>
          <w:rFonts w:hint="eastAsia" w:ascii="楷体" w:hAnsi="楷体" w:eastAsia="楷体" w:cs="楷体"/>
          <w:color w:val="4C5157"/>
          <w:sz w:val="32"/>
          <w:szCs w:val="32"/>
        </w:rPr>
      </w:pPr>
      <w:r>
        <w:rPr>
          <w:rFonts w:hint="eastAsia" w:ascii="楷体" w:hAnsi="楷体" w:eastAsia="楷体" w:cs="楷体"/>
          <w:color w:val="4C5157"/>
          <w:sz w:val="32"/>
          <w:szCs w:val="32"/>
          <w:lang w:eastAsia="zh-CN"/>
        </w:rPr>
        <w:t>龙湖区</w:t>
      </w:r>
      <w:r>
        <w:rPr>
          <w:rFonts w:hint="eastAsia" w:ascii="楷体" w:hAnsi="楷体" w:eastAsia="楷体" w:cs="楷体"/>
          <w:color w:val="4C5157"/>
          <w:sz w:val="32"/>
          <w:szCs w:val="32"/>
        </w:rPr>
        <w:t>第四次全国经济普查领导小组办公室</w:t>
      </w:r>
    </w:p>
    <w:p>
      <w:pPr>
        <w:pStyle w:val="2"/>
        <w:jc w:val="center"/>
        <w:rPr>
          <w:rFonts w:hint="eastAsia" w:ascii="楷体" w:hAnsi="楷体" w:eastAsia="楷体" w:cs="楷体"/>
          <w:color w:val="4C5157"/>
          <w:sz w:val="32"/>
          <w:szCs w:val="32"/>
        </w:rPr>
      </w:pPr>
      <w:r>
        <w:rPr>
          <w:rFonts w:hint="eastAsia" w:ascii="楷体" w:hAnsi="楷体" w:eastAsia="楷体" w:cs="楷体"/>
          <w:color w:val="4C5157"/>
          <w:sz w:val="32"/>
          <w:szCs w:val="32"/>
        </w:rPr>
        <w:t>2020年</w:t>
      </w:r>
      <w:r>
        <w:rPr>
          <w:rFonts w:hint="eastAsia" w:ascii="楷体" w:hAnsi="楷体" w:eastAsia="楷体" w:cs="楷体"/>
          <w:color w:val="4C5157"/>
          <w:sz w:val="32"/>
          <w:szCs w:val="32"/>
          <w:lang w:val="en-US" w:eastAsia="zh-CN"/>
        </w:rPr>
        <w:t>9</w:t>
      </w:r>
      <w:r>
        <w:rPr>
          <w:rFonts w:hint="eastAsia" w:ascii="楷体" w:hAnsi="楷体" w:eastAsia="楷体" w:cs="楷体"/>
          <w:color w:val="4C5157"/>
          <w:sz w:val="32"/>
          <w:szCs w:val="32"/>
        </w:rPr>
        <w:t>月</w:t>
      </w:r>
      <w:r>
        <w:rPr>
          <w:rFonts w:hint="eastAsia" w:ascii="楷体" w:hAnsi="楷体" w:eastAsia="楷体" w:cs="楷体"/>
          <w:color w:val="4C5157"/>
          <w:sz w:val="32"/>
          <w:szCs w:val="32"/>
          <w:lang w:val="en-US" w:eastAsia="zh-CN"/>
        </w:rPr>
        <w:t>25</w:t>
      </w:r>
      <w:r>
        <w:rPr>
          <w:rFonts w:hint="eastAsia" w:ascii="楷体" w:hAnsi="楷体" w:eastAsia="楷体" w:cs="楷体"/>
          <w:color w:val="4C5157"/>
          <w:sz w:val="32"/>
          <w:szCs w:val="32"/>
        </w:rPr>
        <w:t>日</w:t>
      </w:r>
    </w:p>
    <w:p>
      <w:pPr>
        <w:pStyle w:val="2"/>
        <w:spacing w:line="567" w:lineRule="atLeast"/>
        <w:rPr>
          <w:rFonts w:hint="eastAsia" w:ascii="仿宋" w:hAnsi="仿宋" w:eastAsia="仿宋" w:cs="仿宋"/>
          <w:color w:val="4C5157"/>
          <w:sz w:val="32"/>
          <w:szCs w:val="32"/>
        </w:rPr>
      </w:pPr>
      <w:r>
        <w:rPr>
          <w:rFonts w:hint="eastAsia"/>
          <w:color w:val="4C5157"/>
          <w:sz w:val="27"/>
          <w:szCs w:val="27"/>
        </w:rPr>
        <w:t>　　</w:t>
      </w:r>
      <w:r>
        <w:rPr>
          <w:rFonts w:hint="eastAsia" w:ascii="仿宋" w:hAnsi="仿宋" w:eastAsia="仿宋" w:cs="仿宋"/>
          <w:color w:val="4C5157"/>
          <w:sz w:val="32"/>
          <w:szCs w:val="32"/>
        </w:rPr>
        <w:t>根据第四次全国经济普查结果，现将我</w:t>
      </w:r>
      <w:r>
        <w:rPr>
          <w:rFonts w:hint="eastAsia" w:ascii="仿宋" w:hAnsi="仿宋" w:eastAsia="仿宋" w:cs="仿宋"/>
          <w:color w:val="4C5157"/>
          <w:sz w:val="32"/>
          <w:szCs w:val="32"/>
          <w:lang w:eastAsia="zh-CN"/>
        </w:rPr>
        <w:t>区</w:t>
      </w:r>
      <w:r>
        <w:rPr>
          <w:rFonts w:hint="eastAsia" w:ascii="仿宋" w:hAnsi="仿宋" w:eastAsia="仿宋" w:cs="仿宋"/>
          <w:color w:val="4C5157"/>
          <w:sz w:val="32"/>
          <w:szCs w:val="32"/>
        </w:rPr>
        <w:t>单位的基本情况、从业人员、资产负债状况和营业收入公布如下：</w:t>
      </w:r>
    </w:p>
    <w:p>
      <w:pPr>
        <w:pStyle w:val="2"/>
        <w:spacing w:line="567" w:lineRule="atLeast"/>
        <w:rPr>
          <w:rFonts w:hint="eastAsia" w:ascii="黑体" w:hAnsi="黑体" w:eastAsia="黑体" w:cs="黑体"/>
          <w:color w:val="4C5157"/>
          <w:sz w:val="32"/>
          <w:szCs w:val="32"/>
        </w:rPr>
      </w:pPr>
      <w:r>
        <w:rPr>
          <w:rFonts w:hint="eastAsia"/>
          <w:color w:val="4C5157"/>
          <w:sz w:val="27"/>
          <w:szCs w:val="27"/>
        </w:rPr>
        <w:t>　　</w:t>
      </w:r>
      <w:r>
        <w:rPr>
          <w:rFonts w:hint="eastAsia" w:ascii="黑体" w:hAnsi="黑体" w:eastAsia="黑体" w:cs="黑体"/>
          <w:color w:val="4C5157"/>
          <w:sz w:val="32"/>
          <w:szCs w:val="32"/>
        </w:rPr>
        <w:t>一、单位基本情况</w:t>
      </w:r>
    </w:p>
    <w:p>
      <w:pPr>
        <w:pStyle w:val="2"/>
        <w:keepNext w:val="0"/>
        <w:keepLines w:val="0"/>
        <w:pageBreakBefore w:val="0"/>
        <w:widowControl/>
        <w:kinsoku/>
        <w:wordWrap/>
        <w:overflowPunct/>
        <w:topLinePunct w:val="0"/>
        <w:autoSpaceDE/>
        <w:autoSpaceDN/>
        <w:bidi w:val="0"/>
        <w:adjustRightInd/>
        <w:snapToGrid/>
        <w:spacing w:line="500" w:lineRule="atLeast"/>
        <w:ind w:firstLine="539"/>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2018年末，全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共有从事第二产业和第三产业活动的法人单位</w:t>
      </w:r>
      <w:r>
        <w:rPr>
          <w:rFonts w:hint="eastAsia" w:ascii="仿宋" w:hAnsi="仿宋" w:eastAsia="仿宋" w:cs="仿宋"/>
          <w:color w:val="auto"/>
          <w:sz w:val="32"/>
          <w:szCs w:val="32"/>
          <w:lang w:val="en-US" w:eastAsia="zh-CN"/>
        </w:rPr>
        <w:t>13490</w:t>
      </w:r>
      <w:r>
        <w:rPr>
          <w:rFonts w:hint="eastAsia" w:ascii="仿宋" w:hAnsi="仿宋" w:eastAsia="仿宋" w:cs="仿宋"/>
          <w:color w:val="auto"/>
          <w:sz w:val="32"/>
          <w:szCs w:val="32"/>
        </w:rPr>
        <w:t>个，比2013年末（2013年是第三次全国经济普查年份，下同）增加</w:t>
      </w:r>
      <w:r>
        <w:rPr>
          <w:rFonts w:hint="eastAsia" w:ascii="仿宋" w:hAnsi="仿宋" w:eastAsia="仿宋" w:cs="仿宋"/>
          <w:color w:val="auto"/>
          <w:sz w:val="32"/>
          <w:szCs w:val="32"/>
          <w:lang w:val="en-US" w:eastAsia="zh-CN"/>
        </w:rPr>
        <w:t>6178</w:t>
      </w:r>
      <w:r>
        <w:rPr>
          <w:rFonts w:hint="eastAsia" w:ascii="仿宋" w:hAnsi="仿宋" w:eastAsia="仿宋" w:cs="仿宋"/>
          <w:color w:val="auto"/>
          <w:sz w:val="32"/>
          <w:szCs w:val="32"/>
        </w:rPr>
        <w:t>个，增长</w:t>
      </w:r>
      <w:r>
        <w:rPr>
          <w:rFonts w:hint="eastAsia" w:ascii="仿宋" w:hAnsi="仿宋" w:eastAsia="仿宋" w:cs="仿宋"/>
          <w:color w:val="auto"/>
          <w:sz w:val="32"/>
          <w:szCs w:val="32"/>
          <w:lang w:val="en-US" w:eastAsia="zh-CN"/>
        </w:rPr>
        <w:t>84.5</w:t>
      </w:r>
      <w:r>
        <w:rPr>
          <w:rFonts w:hint="eastAsia" w:ascii="仿宋" w:hAnsi="仿宋" w:eastAsia="仿宋" w:cs="仿宋"/>
          <w:color w:val="auto"/>
          <w:sz w:val="32"/>
          <w:szCs w:val="32"/>
        </w:rPr>
        <w:t>%；产业活动单位</w:t>
      </w:r>
      <w:r>
        <w:rPr>
          <w:rFonts w:hint="eastAsia" w:ascii="仿宋" w:hAnsi="仿宋" w:eastAsia="仿宋" w:cs="仿宋"/>
          <w:color w:val="auto"/>
          <w:sz w:val="32"/>
          <w:szCs w:val="32"/>
          <w:lang w:val="en-US" w:eastAsia="zh-CN"/>
        </w:rPr>
        <w:t>15171</w:t>
      </w:r>
      <w:r>
        <w:rPr>
          <w:rFonts w:hint="eastAsia" w:ascii="仿宋" w:hAnsi="仿宋" w:eastAsia="仿宋" w:cs="仿宋"/>
          <w:color w:val="auto"/>
          <w:sz w:val="32"/>
          <w:szCs w:val="32"/>
        </w:rPr>
        <w:t>个，增加</w:t>
      </w:r>
      <w:r>
        <w:rPr>
          <w:rFonts w:hint="eastAsia" w:ascii="仿宋" w:hAnsi="仿宋" w:eastAsia="仿宋" w:cs="仿宋"/>
          <w:color w:val="auto"/>
          <w:sz w:val="32"/>
          <w:szCs w:val="32"/>
          <w:lang w:val="en-US" w:eastAsia="zh-CN"/>
        </w:rPr>
        <w:t>6732</w:t>
      </w:r>
      <w:r>
        <w:rPr>
          <w:rFonts w:hint="eastAsia" w:ascii="仿宋" w:hAnsi="仿宋" w:eastAsia="仿宋" w:cs="仿宋"/>
          <w:color w:val="auto"/>
          <w:sz w:val="32"/>
          <w:szCs w:val="32"/>
        </w:rPr>
        <w:t>个，增长</w:t>
      </w:r>
      <w:r>
        <w:rPr>
          <w:rFonts w:hint="eastAsia" w:ascii="仿宋" w:hAnsi="仿宋" w:eastAsia="仿宋" w:cs="仿宋"/>
          <w:color w:val="auto"/>
          <w:sz w:val="32"/>
          <w:szCs w:val="32"/>
          <w:lang w:val="en-US" w:eastAsia="zh-CN"/>
        </w:rPr>
        <w:t>79.8</w:t>
      </w:r>
      <w:r>
        <w:rPr>
          <w:rFonts w:hint="eastAsia" w:ascii="仿宋" w:hAnsi="仿宋" w:eastAsia="仿宋" w:cs="仿宋"/>
          <w:color w:val="auto"/>
          <w:sz w:val="32"/>
          <w:szCs w:val="32"/>
        </w:rPr>
        <w:t>%；个体经营户</w:t>
      </w:r>
      <w:r>
        <w:rPr>
          <w:rFonts w:hint="eastAsia" w:ascii="仿宋" w:hAnsi="仿宋" w:eastAsia="仿宋" w:cs="仿宋"/>
          <w:color w:val="auto"/>
          <w:sz w:val="32"/>
          <w:szCs w:val="32"/>
          <w:lang w:val="en-US" w:eastAsia="zh-CN"/>
        </w:rPr>
        <w:t>21735</w:t>
      </w:r>
      <w:r>
        <w:rPr>
          <w:rFonts w:hint="eastAsia" w:ascii="仿宋" w:hAnsi="仿宋" w:eastAsia="仿宋" w:cs="仿宋"/>
          <w:color w:val="auto"/>
          <w:sz w:val="32"/>
          <w:szCs w:val="32"/>
        </w:rPr>
        <w:t>个（详见表2-1）。</w:t>
      </w:r>
    </w:p>
    <w:tbl>
      <w:tblPr>
        <w:tblStyle w:val="3"/>
        <w:tblW w:w="6500" w:type="dxa"/>
        <w:jc w:val="center"/>
        <w:tblLayout w:type="autofit"/>
        <w:tblCellMar>
          <w:top w:w="0" w:type="dxa"/>
          <w:left w:w="0" w:type="dxa"/>
          <w:bottom w:w="0" w:type="dxa"/>
          <w:right w:w="0" w:type="dxa"/>
        </w:tblCellMar>
      </w:tblPr>
      <w:tblGrid>
        <w:gridCol w:w="2469"/>
        <w:gridCol w:w="2015"/>
        <w:gridCol w:w="2016"/>
      </w:tblGrid>
      <w:tr>
        <w:tblPrEx>
          <w:tblCellMar>
            <w:top w:w="0" w:type="dxa"/>
            <w:left w:w="0" w:type="dxa"/>
            <w:bottom w:w="0" w:type="dxa"/>
            <w:right w:w="0" w:type="dxa"/>
          </w:tblCellMar>
        </w:tblPrEx>
        <w:trPr>
          <w:trHeight w:val="288" w:hRule="atLeast"/>
          <w:jc w:val="center"/>
        </w:trPr>
        <w:tc>
          <w:tcPr>
            <w:tcW w:w="6500" w:type="dxa"/>
            <w:gridSpan w:val="3"/>
            <w:tcBorders>
              <w:top w:val="nil"/>
              <w:left w:val="nil"/>
              <w:bottom w:val="single" w:color="000000" w:sz="8"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b/>
                <w:bCs/>
                <w:i w:val="0"/>
                <w:color w:val="000000"/>
                <w:kern w:val="0"/>
                <w:sz w:val="28"/>
                <w:szCs w:val="28"/>
                <w:u w:val="none"/>
                <w:lang w:val="en-US" w:eastAsia="zh-CN" w:bidi="ar"/>
              </w:rPr>
              <w:t>表2-1 单位数与个体经营户数</w:t>
            </w:r>
          </w:p>
        </w:tc>
      </w:tr>
      <w:tr>
        <w:tblPrEx>
          <w:tblCellMar>
            <w:top w:w="0" w:type="dxa"/>
            <w:left w:w="0" w:type="dxa"/>
            <w:bottom w:w="0" w:type="dxa"/>
            <w:right w:w="0" w:type="dxa"/>
          </w:tblCellMar>
        </w:tblPrEx>
        <w:trPr>
          <w:trHeight w:val="603" w:hRule="atLeast"/>
          <w:jc w:val="center"/>
        </w:trPr>
        <w:tc>
          <w:tcPr>
            <w:tcW w:w="0" w:type="auto"/>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1815"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单位数（个）</w:t>
            </w:r>
          </w:p>
        </w:tc>
        <w:tc>
          <w:tcPr>
            <w:tcW w:w="1816" w:type="dxa"/>
            <w:tcBorders>
              <w:top w:val="single" w:color="000000" w:sz="8" w:space="0"/>
              <w:left w:val="single" w:color="000000" w:sz="8" w:space="0"/>
              <w:bottom w:val="single" w:color="000000" w:sz="8"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比重（%）</w:t>
            </w:r>
          </w:p>
        </w:tc>
      </w:tr>
      <w:tr>
        <w:tblPrEx>
          <w:tblCellMar>
            <w:top w:w="0" w:type="dxa"/>
            <w:left w:w="0" w:type="dxa"/>
            <w:bottom w:w="0" w:type="dxa"/>
            <w:right w:w="0" w:type="dxa"/>
          </w:tblCellMar>
        </w:tblPrEx>
        <w:trPr>
          <w:trHeight w:val="321" w:hRule="atLeast"/>
          <w:jc w:val="center"/>
        </w:trPr>
        <w:tc>
          <w:tcPr>
            <w:tcW w:w="0" w:type="auto"/>
            <w:tcBorders>
              <w:top w:val="single" w:color="000000" w:sz="8" w:space="0"/>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一、法人单位</w:t>
            </w:r>
          </w:p>
        </w:tc>
        <w:tc>
          <w:tcPr>
            <w:tcW w:w="1815" w:type="dxa"/>
            <w:tcBorders>
              <w:top w:val="single" w:color="000000" w:sz="8" w:space="0"/>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13490</w:t>
            </w:r>
          </w:p>
        </w:tc>
        <w:tc>
          <w:tcPr>
            <w:tcW w:w="1816" w:type="dxa"/>
            <w:tcBorders>
              <w:top w:val="single" w:color="000000" w:sz="8" w:space="0"/>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企业法人</w:t>
            </w:r>
          </w:p>
        </w:tc>
        <w:tc>
          <w:tcPr>
            <w:tcW w:w="1815"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12453</w:t>
            </w:r>
          </w:p>
        </w:tc>
        <w:tc>
          <w:tcPr>
            <w:tcW w:w="1816"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92.3</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机关、事业单位法人</w:t>
            </w:r>
          </w:p>
        </w:tc>
        <w:tc>
          <w:tcPr>
            <w:tcW w:w="1815"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309</w:t>
            </w:r>
          </w:p>
        </w:tc>
        <w:tc>
          <w:tcPr>
            <w:tcW w:w="1816"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2.3</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社会团体</w:t>
            </w:r>
          </w:p>
        </w:tc>
        <w:tc>
          <w:tcPr>
            <w:tcW w:w="1815"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w:t>
            </w:r>
          </w:p>
        </w:tc>
        <w:tc>
          <w:tcPr>
            <w:tcW w:w="1816"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其他法人</w:t>
            </w:r>
          </w:p>
        </w:tc>
        <w:tc>
          <w:tcPr>
            <w:tcW w:w="1815"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511</w:t>
            </w:r>
          </w:p>
        </w:tc>
        <w:tc>
          <w:tcPr>
            <w:tcW w:w="1816"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二、产业活动单位</w:t>
            </w:r>
          </w:p>
        </w:tc>
        <w:tc>
          <w:tcPr>
            <w:tcW w:w="1815"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15171</w:t>
            </w:r>
          </w:p>
        </w:tc>
        <w:tc>
          <w:tcPr>
            <w:tcW w:w="1816"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第二产业</w:t>
            </w:r>
          </w:p>
        </w:tc>
        <w:tc>
          <w:tcPr>
            <w:tcW w:w="1815"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2834</w:t>
            </w:r>
          </w:p>
        </w:tc>
        <w:tc>
          <w:tcPr>
            <w:tcW w:w="1816"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第三产业</w:t>
            </w:r>
          </w:p>
        </w:tc>
        <w:tc>
          <w:tcPr>
            <w:tcW w:w="1815"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auto"/>
                <w:sz w:val="22"/>
                <w:szCs w:val="22"/>
                <w:u w:val="none"/>
              </w:rPr>
            </w:pPr>
            <w:r>
              <w:rPr>
                <w:rFonts w:hint="eastAsia" w:ascii="仿宋" w:hAnsi="仿宋" w:eastAsia="仿宋" w:cs="仿宋"/>
                <w:i w:val="0"/>
                <w:color w:val="auto"/>
                <w:kern w:val="0"/>
                <w:sz w:val="22"/>
                <w:szCs w:val="22"/>
                <w:u w:val="none"/>
                <w:lang w:val="en-US" w:eastAsia="zh-CN" w:bidi="ar"/>
              </w:rPr>
              <w:t>12337</w:t>
            </w:r>
          </w:p>
        </w:tc>
        <w:tc>
          <w:tcPr>
            <w:tcW w:w="1816"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81.3</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三、个体经营户</w:t>
            </w:r>
          </w:p>
        </w:tc>
        <w:tc>
          <w:tcPr>
            <w:tcW w:w="1815"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21735</w:t>
            </w:r>
          </w:p>
        </w:tc>
        <w:tc>
          <w:tcPr>
            <w:tcW w:w="1816"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第二产业</w:t>
            </w:r>
          </w:p>
        </w:tc>
        <w:tc>
          <w:tcPr>
            <w:tcW w:w="1815"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2957</w:t>
            </w:r>
          </w:p>
        </w:tc>
        <w:tc>
          <w:tcPr>
            <w:tcW w:w="1816"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13.6</w:t>
            </w:r>
          </w:p>
        </w:tc>
      </w:tr>
      <w:tr>
        <w:tblPrEx>
          <w:tblCellMar>
            <w:top w:w="0" w:type="dxa"/>
            <w:left w:w="0" w:type="dxa"/>
            <w:bottom w:w="0" w:type="dxa"/>
            <w:right w:w="0" w:type="dxa"/>
          </w:tblCellMar>
        </w:tblPrEx>
        <w:trPr>
          <w:trHeight w:val="321" w:hRule="atLeast"/>
          <w:jc w:val="center"/>
        </w:trPr>
        <w:tc>
          <w:tcPr>
            <w:tcW w:w="0" w:type="auto"/>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第三产业</w:t>
            </w:r>
          </w:p>
        </w:tc>
        <w:tc>
          <w:tcPr>
            <w:tcW w:w="1815" w:type="dxa"/>
            <w:tcBorders>
              <w:top w:val="nil"/>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18778</w:t>
            </w:r>
          </w:p>
        </w:tc>
        <w:tc>
          <w:tcPr>
            <w:tcW w:w="1816" w:type="dxa"/>
            <w:tcBorders>
              <w:top w:val="nil"/>
              <w:left w:val="single" w:color="000000" w:sz="8" w:space="0"/>
              <w:bottom w:val="single" w:color="000000" w:sz="8" w:space="0"/>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86.4</w:t>
            </w:r>
          </w:p>
        </w:tc>
      </w:tr>
    </w:tbl>
    <w:p>
      <w:pPr>
        <w:pStyle w:val="2"/>
        <w:spacing w:line="567" w:lineRule="atLeast"/>
        <w:rPr>
          <w:rFonts w:hint="eastAsia" w:ascii="仿宋" w:hAnsi="仿宋" w:eastAsia="仿宋" w:cs="仿宋"/>
          <w:color w:val="4C5157"/>
          <w:sz w:val="32"/>
          <w:szCs w:val="32"/>
        </w:rPr>
      </w:pPr>
      <w:r>
        <w:rPr>
          <w:rFonts w:hint="eastAsia" w:ascii="仿宋" w:hAnsi="仿宋" w:eastAsia="仿宋" w:cs="仿宋"/>
          <w:color w:val="4C5157"/>
          <w:sz w:val="27"/>
          <w:szCs w:val="27"/>
        </w:rPr>
        <w:t>　</w:t>
      </w:r>
      <w:r>
        <w:rPr>
          <w:rFonts w:hint="eastAsia" w:ascii="仿宋" w:hAnsi="仿宋" w:eastAsia="仿宋" w:cs="仿宋"/>
          <w:color w:val="4C5157"/>
          <w:sz w:val="32"/>
          <w:szCs w:val="32"/>
        </w:rPr>
        <w:t>　2018年末，在第二产业和第三产业法人单位中，位居前三位的行业是：批发和零售业</w:t>
      </w:r>
      <w:r>
        <w:rPr>
          <w:rFonts w:hint="eastAsia" w:ascii="仿宋" w:hAnsi="仿宋" w:eastAsia="仿宋" w:cs="仿宋"/>
          <w:color w:val="4C5157"/>
          <w:sz w:val="32"/>
          <w:szCs w:val="32"/>
          <w:lang w:val="en-US" w:eastAsia="zh-CN"/>
        </w:rPr>
        <w:t>4061</w:t>
      </w:r>
      <w:r>
        <w:rPr>
          <w:rFonts w:hint="eastAsia" w:ascii="仿宋" w:hAnsi="仿宋" w:eastAsia="仿宋" w:cs="仿宋"/>
          <w:color w:val="4C5157"/>
          <w:sz w:val="32"/>
          <w:szCs w:val="32"/>
        </w:rPr>
        <w:t>个，占</w:t>
      </w:r>
      <w:r>
        <w:rPr>
          <w:rFonts w:hint="eastAsia" w:ascii="仿宋" w:hAnsi="仿宋" w:eastAsia="仿宋" w:cs="仿宋"/>
          <w:color w:val="4C5157"/>
          <w:sz w:val="32"/>
          <w:szCs w:val="32"/>
          <w:lang w:val="en-US" w:eastAsia="zh-CN"/>
        </w:rPr>
        <w:t>30.1</w:t>
      </w:r>
      <w:r>
        <w:rPr>
          <w:rFonts w:hint="eastAsia" w:ascii="仿宋" w:hAnsi="仿宋" w:eastAsia="仿宋" w:cs="仿宋"/>
          <w:color w:val="4C5157"/>
          <w:sz w:val="32"/>
          <w:szCs w:val="32"/>
        </w:rPr>
        <w:t>%；制造业</w:t>
      </w:r>
      <w:r>
        <w:rPr>
          <w:rFonts w:hint="eastAsia" w:ascii="仿宋" w:hAnsi="仿宋" w:eastAsia="仿宋" w:cs="仿宋"/>
          <w:color w:val="4C5157"/>
          <w:sz w:val="32"/>
          <w:szCs w:val="32"/>
          <w:lang w:val="en-US" w:eastAsia="zh-CN"/>
        </w:rPr>
        <w:t>2156</w:t>
      </w:r>
      <w:r>
        <w:rPr>
          <w:rFonts w:hint="eastAsia" w:ascii="仿宋" w:hAnsi="仿宋" w:eastAsia="仿宋" w:cs="仿宋"/>
          <w:color w:val="4C5157"/>
          <w:sz w:val="32"/>
          <w:szCs w:val="32"/>
        </w:rPr>
        <w:t>个，占</w:t>
      </w:r>
      <w:r>
        <w:rPr>
          <w:rFonts w:hint="eastAsia" w:ascii="仿宋" w:hAnsi="仿宋" w:eastAsia="仿宋" w:cs="仿宋"/>
          <w:color w:val="4C5157"/>
          <w:sz w:val="32"/>
          <w:szCs w:val="32"/>
          <w:lang w:val="en-US" w:eastAsia="zh-CN"/>
        </w:rPr>
        <w:t>16.0</w:t>
      </w:r>
      <w:r>
        <w:rPr>
          <w:rFonts w:hint="eastAsia" w:ascii="仿宋" w:hAnsi="仿宋" w:eastAsia="仿宋" w:cs="仿宋"/>
          <w:color w:val="4C5157"/>
          <w:sz w:val="32"/>
          <w:szCs w:val="32"/>
        </w:rPr>
        <w:t>%；租赁和商务服务业</w:t>
      </w:r>
      <w:r>
        <w:rPr>
          <w:rFonts w:hint="eastAsia" w:ascii="仿宋" w:hAnsi="仿宋" w:eastAsia="仿宋" w:cs="仿宋"/>
          <w:color w:val="4C5157"/>
          <w:sz w:val="32"/>
          <w:szCs w:val="32"/>
          <w:lang w:val="en-US" w:eastAsia="zh-CN"/>
        </w:rPr>
        <w:t>1694</w:t>
      </w:r>
      <w:r>
        <w:rPr>
          <w:rFonts w:hint="eastAsia" w:ascii="仿宋" w:hAnsi="仿宋" w:eastAsia="仿宋" w:cs="仿宋"/>
          <w:color w:val="4C5157"/>
          <w:sz w:val="32"/>
          <w:szCs w:val="32"/>
        </w:rPr>
        <w:t>个，占</w:t>
      </w:r>
      <w:r>
        <w:rPr>
          <w:rFonts w:hint="eastAsia" w:ascii="仿宋" w:hAnsi="仿宋" w:eastAsia="仿宋" w:cs="仿宋"/>
          <w:color w:val="4C5157"/>
          <w:sz w:val="32"/>
          <w:szCs w:val="32"/>
          <w:lang w:val="en-US" w:eastAsia="zh-CN"/>
        </w:rPr>
        <w:t>12.5</w:t>
      </w:r>
      <w:r>
        <w:rPr>
          <w:rFonts w:hint="eastAsia" w:ascii="仿宋" w:hAnsi="仿宋" w:eastAsia="仿宋" w:cs="仿宋"/>
          <w:color w:val="4C5157"/>
          <w:sz w:val="32"/>
          <w:szCs w:val="32"/>
        </w:rPr>
        <w:t>%。在个体经营户中，位居前三位的行业是：批发和零售业</w:t>
      </w:r>
      <w:r>
        <w:rPr>
          <w:rFonts w:hint="eastAsia" w:ascii="仿宋" w:hAnsi="仿宋" w:eastAsia="仿宋" w:cs="仿宋"/>
          <w:color w:val="4C5157"/>
          <w:sz w:val="32"/>
          <w:szCs w:val="32"/>
          <w:lang w:val="en-US" w:eastAsia="zh-CN"/>
        </w:rPr>
        <w:t>12694</w:t>
      </w:r>
      <w:r>
        <w:rPr>
          <w:rFonts w:hint="eastAsia" w:ascii="仿宋" w:hAnsi="仿宋" w:eastAsia="仿宋" w:cs="仿宋"/>
          <w:color w:val="4C5157"/>
          <w:sz w:val="32"/>
          <w:szCs w:val="32"/>
        </w:rPr>
        <w:t>个</w:t>
      </w:r>
      <w:r>
        <w:rPr>
          <w:rFonts w:hint="eastAsia" w:ascii="仿宋" w:hAnsi="仿宋" w:eastAsia="仿宋" w:cs="仿宋"/>
          <w:color w:val="4C5157"/>
          <w:sz w:val="32"/>
          <w:szCs w:val="32"/>
          <w:lang w:eastAsia="zh-CN"/>
        </w:rPr>
        <w:t>，</w:t>
      </w:r>
      <w:r>
        <w:rPr>
          <w:rFonts w:hint="eastAsia" w:ascii="仿宋" w:hAnsi="仿宋" w:eastAsia="仿宋" w:cs="仿宋"/>
          <w:color w:val="4C5157"/>
          <w:sz w:val="32"/>
          <w:szCs w:val="32"/>
        </w:rPr>
        <w:t>占58.</w:t>
      </w:r>
      <w:r>
        <w:rPr>
          <w:rFonts w:hint="eastAsia" w:ascii="仿宋" w:hAnsi="仿宋" w:eastAsia="仿宋" w:cs="仿宋"/>
          <w:color w:val="4C5157"/>
          <w:sz w:val="32"/>
          <w:szCs w:val="32"/>
          <w:lang w:val="en-US" w:eastAsia="zh-CN"/>
        </w:rPr>
        <w:t>4</w:t>
      </w:r>
      <w:r>
        <w:rPr>
          <w:rFonts w:hint="eastAsia" w:ascii="仿宋" w:hAnsi="仿宋" w:eastAsia="仿宋" w:cs="仿宋"/>
          <w:color w:val="4C5157"/>
          <w:sz w:val="32"/>
          <w:szCs w:val="32"/>
        </w:rPr>
        <w:t>%；住宿和餐饮业</w:t>
      </w:r>
      <w:r>
        <w:rPr>
          <w:rFonts w:hint="eastAsia" w:ascii="仿宋" w:hAnsi="仿宋" w:eastAsia="仿宋" w:cs="仿宋"/>
          <w:color w:val="4C5157"/>
          <w:sz w:val="32"/>
          <w:szCs w:val="32"/>
          <w:lang w:val="en-US" w:eastAsia="zh-CN"/>
        </w:rPr>
        <w:t>3095</w:t>
      </w:r>
      <w:r>
        <w:rPr>
          <w:rFonts w:hint="eastAsia" w:ascii="仿宋" w:hAnsi="仿宋" w:eastAsia="仿宋" w:cs="仿宋"/>
          <w:color w:val="4C5157"/>
          <w:sz w:val="32"/>
          <w:szCs w:val="32"/>
        </w:rPr>
        <w:t>个，占1</w:t>
      </w:r>
      <w:r>
        <w:rPr>
          <w:rFonts w:hint="eastAsia" w:ascii="仿宋" w:hAnsi="仿宋" w:eastAsia="仿宋" w:cs="仿宋"/>
          <w:color w:val="4C5157"/>
          <w:sz w:val="32"/>
          <w:szCs w:val="32"/>
          <w:lang w:val="en-US" w:eastAsia="zh-CN"/>
        </w:rPr>
        <w:t>4.2</w:t>
      </w:r>
      <w:r>
        <w:rPr>
          <w:rFonts w:hint="eastAsia" w:ascii="仿宋" w:hAnsi="仿宋" w:eastAsia="仿宋" w:cs="仿宋"/>
          <w:color w:val="4C5157"/>
          <w:sz w:val="32"/>
          <w:szCs w:val="32"/>
        </w:rPr>
        <w:t>%</w:t>
      </w:r>
      <w:r>
        <w:rPr>
          <w:rFonts w:hint="eastAsia" w:ascii="仿宋" w:hAnsi="仿宋" w:eastAsia="仿宋" w:cs="仿宋"/>
          <w:color w:val="4C5157"/>
          <w:sz w:val="32"/>
          <w:szCs w:val="32"/>
          <w:lang w:eastAsia="zh-CN"/>
        </w:rPr>
        <w:t>；</w:t>
      </w:r>
      <w:r>
        <w:rPr>
          <w:rFonts w:hint="eastAsia" w:ascii="仿宋" w:hAnsi="仿宋" w:eastAsia="仿宋" w:cs="仿宋"/>
          <w:color w:val="4C5157"/>
          <w:sz w:val="32"/>
          <w:szCs w:val="32"/>
        </w:rPr>
        <w:t>制造业</w:t>
      </w:r>
      <w:r>
        <w:rPr>
          <w:rFonts w:hint="eastAsia" w:ascii="仿宋" w:hAnsi="仿宋" w:eastAsia="仿宋" w:cs="仿宋"/>
          <w:color w:val="4C5157"/>
          <w:sz w:val="32"/>
          <w:szCs w:val="32"/>
          <w:lang w:val="en-US" w:eastAsia="zh-CN"/>
        </w:rPr>
        <w:t>2903</w:t>
      </w:r>
      <w:r>
        <w:rPr>
          <w:rFonts w:hint="eastAsia" w:ascii="仿宋" w:hAnsi="仿宋" w:eastAsia="仿宋" w:cs="仿宋"/>
          <w:color w:val="4C5157"/>
          <w:sz w:val="32"/>
          <w:szCs w:val="32"/>
        </w:rPr>
        <w:t>个，占1</w:t>
      </w:r>
      <w:r>
        <w:rPr>
          <w:rFonts w:hint="eastAsia" w:ascii="仿宋" w:hAnsi="仿宋" w:eastAsia="仿宋" w:cs="仿宋"/>
          <w:color w:val="4C5157"/>
          <w:sz w:val="32"/>
          <w:szCs w:val="32"/>
          <w:lang w:val="en-US" w:eastAsia="zh-CN"/>
        </w:rPr>
        <w:t>3.4</w:t>
      </w:r>
      <w:r>
        <w:rPr>
          <w:rFonts w:hint="eastAsia" w:ascii="仿宋" w:hAnsi="仿宋" w:eastAsia="仿宋" w:cs="仿宋"/>
          <w:color w:val="4C5157"/>
          <w:sz w:val="32"/>
          <w:szCs w:val="32"/>
        </w:rPr>
        <w:t>%（详见表2-2）。</w:t>
      </w:r>
    </w:p>
    <w:tbl>
      <w:tblPr>
        <w:tblStyle w:val="3"/>
        <w:tblW w:w="5000" w:type="pct"/>
        <w:jc w:val="center"/>
        <w:tblLayout w:type="fixed"/>
        <w:tblCellMar>
          <w:top w:w="0" w:type="dxa"/>
          <w:left w:w="0" w:type="dxa"/>
          <w:bottom w:w="0" w:type="dxa"/>
          <w:right w:w="0" w:type="dxa"/>
        </w:tblCellMar>
      </w:tblPr>
      <w:tblGrid>
        <w:gridCol w:w="2991"/>
        <w:gridCol w:w="1400"/>
        <w:gridCol w:w="1591"/>
        <w:gridCol w:w="1598"/>
        <w:gridCol w:w="750"/>
      </w:tblGrid>
      <w:tr>
        <w:tblPrEx>
          <w:tblCellMar>
            <w:top w:w="0" w:type="dxa"/>
            <w:left w:w="0" w:type="dxa"/>
            <w:bottom w:w="0" w:type="dxa"/>
            <w:right w:w="0" w:type="dxa"/>
          </w:tblCellMar>
        </w:tblPrEx>
        <w:trPr>
          <w:gridAfter w:val="1"/>
          <w:wAfter w:w="450" w:type="pct"/>
          <w:trHeight w:val="288" w:hRule="atLeast"/>
          <w:jc w:val="center"/>
        </w:trPr>
        <w:tc>
          <w:tcPr>
            <w:tcW w:w="4549" w:type="pct"/>
            <w:gridSpan w:val="4"/>
            <w:tcBorders>
              <w:top w:val="nil"/>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b/>
                <w:bCs/>
                <w:i w:val="0"/>
                <w:color w:val="000000"/>
                <w:kern w:val="0"/>
                <w:sz w:val="28"/>
                <w:szCs w:val="28"/>
                <w:u w:val="none"/>
                <w:lang w:val="en-US" w:eastAsia="zh-CN" w:bidi="ar"/>
              </w:rPr>
              <w:t>表2-2 按行业门类分组的法人单位与个体经营户</w:t>
            </w:r>
          </w:p>
        </w:tc>
      </w:tr>
      <w:tr>
        <w:tblPrEx>
          <w:tblCellMar>
            <w:top w:w="0" w:type="dxa"/>
            <w:left w:w="0" w:type="dxa"/>
            <w:bottom w:w="0" w:type="dxa"/>
            <w:right w:w="0" w:type="dxa"/>
          </w:tblCellMar>
        </w:tblPrEx>
        <w:trPr>
          <w:trHeight w:val="288" w:hRule="atLeast"/>
          <w:jc w:val="center"/>
        </w:trPr>
        <w:tc>
          <w:tcPr>
            <w:tcW w:w="1795" w:type="pct"/>
            <w:vMerge w:val="restart"/>
            <w:tcBorders>
              <w:top w:val="single" w:color="000000" w:sz="8" w:space="0"/>
              <w:left w:val="nil"/>
              <w:right w:val="single" w:color="000000" w:sz="8" w:space="0"/>
            </w:tcBorders>
            <w:noWrap/>
            <w:tcMar>
              <w:top w:w="12" w:type="dxa"/>
              <w:left w:w="12" w:type="dxa"/>
              <w:right w:w="12" w:type="dxa"/>
            </w:tcMar>
            <w:vAlign w:val="center"/>
          </w:tcPr>
          <w:p>
            <w:pPr>
              <w:rPr>
                <w:rFonts w:hint="eastAsia"/>
              </w:rPr>
            </w:pPr>
          </w:p>
        </w:tc>
        <w:tc>
          <w:tcPr>
            <w:tcW w:w="1795" w:type="pct"/>
            <w:gridSpan w:val="2"/>
            <w:tcBorders>
              <w:top w:val="single" w:color="000000" w:sz="8" w:space="0"/>
              <w:left w:val="single" w:color="000000" w:sz="8" w:space="0"/>
              <w:bottom w:val="single" w:color="auto"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法人单位</w:t>
            </w:r>
          </w:p>
        </w:tc>
        <w:tc>
          <w:tcPr>
            <w:tcW w:w="1409" w:type="pct"/>
            <w:gridSpan w:val="2"/>
            <w:tcBorders>
              <w:top w:val="single" w:color="000000" w:sz="8" w:space="0"/>
              <w:left w:val="single" w:color="000000" w:sz="8" w:space="0"/>
              <w:bottom w:val="single" w:color="auto" w:sz="8"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个体经营户</w:t>
            </w:r>
          </w:p>
        </w:tc>
      </w:tr>
      <w:tr>
        <w:tblPrEx>
          <w:tblCellMar>
            <w:top w:w="0" w:type="dxa"/>
            <w:left w:w="0" w:type="dxa"/>
            <w:bottom w:w="0" w:type="dxa"/>
            <w:right w:w="0" w:type="dxa"/>
          </w:tblCellMar>
        </w:tblPrEx>
        <w:trPr>
          <w:trHeight w:val="288" w:hRule="atLeast"/>
          <w:jc w:val="center"/>
        </w:trPr>
        <w:tc>
          <w:tcPr>
            <w:tcW w:w="1795" w:type="pct"/>
            <w:vMerge w:val="continue"/>
            <w:tcBorders>
              <w:left w:val="nil"/>
              <w:bottom w:val="single" w:color="auto" w:sz="8" w:space="0"/>
              <w:right w:val="single" w:color="000000" w:sz="8" w:space="0"/>
            </w:tcBorders>
            <w:noWrap/>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840" w:type="pct"/>
            <w:tcBorders>
              <w:top w:val="single" w:color="auto" w:sz="8" w:space="0"/>
              <w:left w:val="single" w:color="000000" w:sz="8" w:space="0"/>
              <w:bottom w:val="single" w:color="auto"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数量（个）</w:t>
            </w:r>
          </w:p>
        </w:tc>
        <w:tc>
          <w:tcPr>
            <w:tcW w:w="954" w:type="pct"/>
            <w:tcBorders>
              <w:top w:val="single" w:color="auto" w:sz="8" w:space="0"/>
              <w:left w:val="single" w:color="000000" w:sz="8" w:space="0"/>
              <w:bottom w:val="single" w:color="auto"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比重（%）</w:t>
            </w:r>
          </w:p>
        </w:tc>
        <w:tc>
          <w:tcPr>
            <w:tcW w:w="959" w:type="pct"/>
            <w:tcBorders>
              <w:top w:val="single" w:color="auto" w:sz="8" w:space="0"/>
              <w:left w:val="single" w:color="000000" w:sz="8" w:space="0"/>
              <w:bottom w:val="single" w:color="auto" w:sz="8" w:space="0"/>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数量（个）</w:t>
            </w:r>
          </w:p>
        </w:tc>
        <w:tc>
          <w:tcPr>
            <w:tcW w:w="450" w:type="pct"/>
            <w:tcBorders>
              <w:top w:val="single" w:color="auto" w:sz="8" w:space="0"/>
              <w:left w:val="single" w:color="000000" w:sz="8" w:space="0"/>
              <w:bottom w:val="single" w:color="auto" w:sz="8"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比重（%）</w:t>
            </w:r>
          </w:p>
        </w:tc>
      </w:tr>
      <w:tr>
        <w:tblPrEx>
          <w:tblCellMar>
            <w:top w:w="0" w:type="dxa"/>
            <w:left w:w="0" w:type="dxa"/>
            <w:bottom w:w="0" w:type="dxa"/>
            <w:right w:w="0" w:type="dxa"/>
          </w:tblCellMar>
        </w:tblPrEx>
        <w:trPr>
          <w:trHeight w:val="318" w:hRule="atLeast"/>
          <w:jc w:val="center"/>
        </w:trPr>
        <w:tc>
          <w:tcPr>
            <w:tcW w:w="1795" w:type="pct"/>
            <w:tcBorders>
              <w:top w:val="single" w:color="auto" w:sz="8" w:space="0"/>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  计</w:t>
            </w:r>
          </w:p>
        </w:tc>
        <w:tc>
          <w:tcPr>
            <w:tcW w:w="840" w:type="pct"/>
            <w:tcBorders>
              <w:top w:val="single" w:color="auto" w:sz="8" w:space="0"/>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13490</w:t>
            </w:r>
          </w:p>
        </w:tc>
        <w:tc>
          <w:tcPr>
            <w:tcW w:w="954" w:type="pct"/>
            <w:tcBorders>
              <w:top w:val="single" w:color="auto" w:sz="8" w:space="0"/>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100.0</w:t>
            </w:r>
          </w:p>
        </w:tc>
        <w:tc>
          <w:tcPr>
            <w:tcW w:w="959" w:type="pct"/>
            <w:tcBorders>
              <w:top w:val="single" w:color="auto" w:sz="8" w:space="0"/>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21735</w:t>
            </w:r>
          </w:p>
        </w:tc>
        <w:tc>
          <w:tcPr>
            <w:tcW w:w="450" w:type="pct"/>
            <w:tcBorders>
              <w:top w:val="single" w:color="auto" w:sz="8" w:space="0"/>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采矿业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制造业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2156</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16.0</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2903</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13.4</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电力、热力、燃气及水生产和供应业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0.1</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建筑业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562</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0.2</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批发和零售业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4061</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30.1</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12694</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58.4</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交通运输、仓储和邮政业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455</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3.4</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644</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3.0</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住宿和餐饮业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336</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3095</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信息传输、软件和信息服务</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572</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0.1</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金融业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0.7</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房地产业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693</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5.1</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0.1</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租赁和商务服务业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1694</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12.5</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0.8</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科学研究和技术服务业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942</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7.0</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84</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0.4</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水利、环境和公共设施管理业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0.4</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居民服务、修理和其他服务业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417</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1807</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教育</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412</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0.3</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卫生和社会工作</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0.6</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131</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0.6</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文化、体育和娱乐业</w:t>
            </w:r>
          </w:p>
        </w:tc>
        <w:tc>
          <w:tcPr>
            <w:tcW w:w="840"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448</w:t>
            </w:r>
          </w:p>
        </w:tc>
        <w:tc>
          <w:tcPr>
            <w:tcW w:w="954"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w:t>
            </w:r>
          </w:p>
        </w:tc>
        <w:tc>
          <w:tcPr>
            <w:tcW w:w="959" w:type="pct"/>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450" w:type="pct"/>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0.2</w:t>
            </w:r>
          </w:p>
        </w:tc>
      </w:tr>
      <w:tr>
        <w:tblPrEx>
          <w:tblCellMar>
            <w:top w:w="0" w:type="dxa"/>
            <w:left w:w="0" w:type="dxa"/>
            <w:bottom w:w="0" w:type="dxa"/>
            <w:right w:w="0" w:type="dxa"/>
          </w:tblCellMar>
        </w:tblPrEx>
        <w:trPr>
          <w:trHeight w:val="318" w:hRule="atLeast"/>
          <w:jc w:val="center"/>
        </w:trPr>
        <w:tc>
          <w:tcPr>
            <w:tcW w:w="1795" w:type="pct"/>
            <w:tcBorders>
              <w:top w:val="nil"/>
              <w:left w:val="nil"/>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公共管理、社会保障和社会组织</w:t>
            </w:r>
          </w:p>
        </w:tc>
        <w:tc>
          <w:tcPr>
            <w:tcW w:w="840" w:type="pct"/>
            <w:tcBorders>
              <w:top w:val="nil"/>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489</w:t>
            </w:r>
          </w:p>
        </w:tc>
        <w:tc>
          <w:tcPr>
            <w:tcW w:w="954" w:type="pct"/>
            <w:tcBorders>
              <w:top w:val="nil"/>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w:t>
            </w:r>
          </w:p>
        </w:tc>
        <w:tc>
          <w:tcPr>
            <w:tcW w:w="959" w:type="pct"/>
            <w:tcBorders>
              <w:top w:val="nil"/>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450" w:type="pct"/>
            <w:tcBorders>
              <w:top w:val="nil"/>
              <w:left w:val="single" w:color="000000" w:sz="8" w:space="0"/>
              <w:bottom w:val="single" w:color="000000" w:sz="8" w:space="0"/>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w:t>
            </w:r>
          </w:p>
        </w:tc>
      </w:tr>
      <w:tr>
        <w:tblPrEx>
          <w:tblCellMar>
            <w:top w:w="0" w:type="dxa"/>
            <w:left w:w="0" w:type="dxa"/>
            <w:bottom w:w="0" w:type="dxa"/>
            <w:right w:w="0" w:type="dxa"/>
          </w:tblCellMar>
        </w:tblPrEx>
        <w:trPr>
          <w:gridAfter w:val="1"/>
          <w:wAfter w:w="450" w:type="pct"/>
          <w:trHeight w:val="288" w:hRule="atLeast"/>
          <w:jc w:val="center"/>
        </w:trPr>
        <w:tc>
          <w:tcPr>
            <w:tcW w:w="4549" w:type="pct"/>
            <w:gridSpan w:val="4"/>
            <w:tcBorders>
              <w:top w:val="single" w:color="000000" w:sz="4" w:space="0"/>
              <w:left w:val="nil"/>
              <w:bottom w:val="nil"/>
              <w:right w:val="nil"/>
            </w:tcBorders>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8"/>
                <w:szCs w:val="18"/>
                <w:u w:val="none"/>
                <w:lang w:val="en-US" w:eastAsia="zh-CN" w:bidi="ar"/>
              </w:rPr>
              <w:t xml:space="preserve">  注：表中合计数含从事农、林、牧、渔专业及辅助性活动和兼营第二、三产业活动的农、林、牧、渔业法人单位与个体经营户。</w:t>
            </w:r>
          </w:p>
        </w:tc>
      </w:tr>
    </w:tbl>
    <w:p>
      <w:pPr>
        <w:pStyle w:val="2"/>
        <w:spacing w:line="567" w:lineRule="atLeast"/>
        <w:rPr>
          <w:rFonts w:hint="eastAsia" w:ascii="仿宋" w:hAnsi="仿宋" w:eastAsia="仿宋" w:cs="仿宋"/>
          <w:color w:val="auto"/>
          <w:sz w:val="32"/>
          <w:szCs w:val="32"/>
          <w:highlight w:val="none"/>
        </w:rPr>
      </w:pPr>
      <w:r>
        <w:rPr>
          <w:rFonts w:hint="eastAsia"/>
          <w:color w:val="4C5157"/>
          <w:sz w:val="27"/>
          <w:szCs w:val="27"/>
          <w:highlight w:val="none"/>
        </w:rPr>
        <w:t>　</w:t>
      </w:r>
      <w:r>
        <w:rPr>
          <w:rFonts w:hint="eastAsia" w:ascii="仿宋" w:hAnsi="仿宋" w:eastAsia="仿宋" w:cs="仿宋"/>
          <w:color w:val="4C5157"/>
          <w:sz w:val="32"/>
          <w:szCs w:val="32"/>
          <w:highlight w:val="none"/>
        </w:rPr>
        <w:t>　2018年末，全</w:t>
      </w:r>
      <w:r>
        <w:rPr>
          <w:rFonts w:hint="eastAsia" w:ascii="仿宋" w:hAnsi="仿宋" w:eastAsia="仿宋" w:cs="仿宋"/>
          <w:color w:val="4C5157"/>
          <w:sz w:val="32"/>
          <w:szCs w:val="32"/>
          <w:highlight w:val="none"/>
          <w:lang w:eastAsia="zh-CN"/>
        </w:rPr>
        <w:t>区</w:t>
      </w:r>
      <w:r>
        <w:rPr>
          <w:rFonts w:hint="eastAsia" w:ascii="仿宋" w:hAnsi="仿宋" w:eastAsia="仿宋" w:cs="仿宋"/>
          <w:color w:val="4C5157"/>
          <w:sz w:val="32"/>
          <w:szCs w:val="32"/>
          <w:highlight w:val="none"/>
        </w:rPr>
        <w:t>共有第二产业和第三产业的企业法人单位</w:t>
      </w:r>
      <w:r>
        <w:rPr>
          <w:rFonts w:hint="eastAsia" w:ascii="仿宋" w:hAnsi="仿宋" w:eastAsia="仿宋" w:cs="仿宋"/>
          <w:color w:val="4C5157"/>
          <w:sz w:val="32"/>
          <w:szCs w:val="32"/>
          <w:highlight w:val="none"/>
          <w:lang w:val="en-US" w:eastAsia="zh-CN"/>
        </w:rPr>
        <w:t>12453</w:t>
      </w:r>
      <w:r>
        <w:rPr>
          <w:rFonts w:hint="eastAsia" w:ascii="仿宋" w:hAnsi="仿宋" w:eastAsia="仿宋" w:cs="仿宋"/>
          <w:color w:val="4C5157"/>
          <w:sz w:val="32"/>
          <w:szCs w:val="32"/>
          <w:highlight w:val="none"/>
        </w:rPr>
        <w:t>个，</w:t>
      </w:r>
      <w:r>
        <w:rPr>
          <w:rFonts w:hint="eastAsia" w:ascii="仿宋" w:hAnsi="仿宋" w:eastAsia="仿宋" w:cs="仿宋"/>
          <w:color w:val="auto"/>
          <w:sz w:val="32"/>
          <w:szCs w:val="32"/>
          <w:highlight w:val="none"/>
        </w:rPr>
        <w:t>比2013年末增加</w:t>
      </w:r>
      <w:r>
        <w:rPr>
          <w:rFonts w:hint="eastAsia" w:ascii="仿宋" w:hAnsi="仿宋" w:eastAsia="仿宋" w:cs="仿宋"/>
          <w:color w:val="auto"/>
          <w:sz w:val="32"/>
          <w:szCs w:val="32"/>
          <w:highlight w:val="none"/>
          <w:lang w:val="en-US" w:eastAsia="zh-CN"/>
        </w:rPr>
        <w:t>5966</w:t>
      </w:r>
      <w:r>
        <w:rPr>
          <w:rFonts w:hint="eastAsia" w:ascii="仿宋" w:hAnsi="仿宋" w:eastAsia="仿宋" w:cs="仿宋"/>
          <w:color w:val="auto"/>
          <w:sz w:val="32"/>
          <w:szCs w:val="32"/>
          <w:highlight w:val="none"/>
        </w:rPr>
        <w:t>个，增长</w:t>
      </w:r>
      <w:r>
        <w:rPr>
          <w:rFonts w:hint="eastAsia" w:ascii="仿宋" w:hAnsi="仿宋" w:eastAsia="仿宋" w:cs="仿宋"/>
          <w:color w:val="auto"/>
          <w:sz w:val="32"/>
          <w:szCs w:val="32"/>
          <w:highlight w:val="none"/>
          <w:lang w:val="en-US" w:eastAsia="zh-CN"/>
        </w:rPr>
        <w:t>92.0</w:t>
      </w:r>
      <w:r>
        <w:rPr>
          <w:rFonts w:hint="eastAsia" w:ascii="仿宋" w:hAnsi="仿宋" w:eastAsia="仿宋" w:cs="仿宋"/>
          <w:color w:val="auto"/>
          <w:sz w:val="32"/>
          <w:szCs w:val="32"/>
          <w:highlight w:val="none"/>
        </w:rPr>
        <w:t>%。其中，内资企业占98.</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%，港、澳、台商投资企业占1.</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%，外商投资企业占0.</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%。内资企业中，国有企业占全部企业法人单位的</w:t>
      </w:r>
      <w:r>
        <w:rPr>
          <w:rFonts w:hint="eastAsia" w:ascii="仿宋" w:hAnsi="仿宋" w:eastAsia="仿宋" w:cs="仿宋"/>
          <w:color w:val="auto"/>
          <w:sz w:val="32"/>
          <w:szCs w:val="32"/>
          <w:highlight w:val="none"/>
          <w:lang w:val="en-US" w:eastAsia="zh-CN"/>
        </w:rPr>
        <w:t>0.8</w:t>
      </w:r>
      <w:r>
        <w:rPr>
          <w:rFonts w:hint="eastAsia" w:ascii="仿宋" w:hAnsi="仿宋" w:eastAsia="仿宋" w:cs="仿宋"/>
          <w:color w:val="auto"/>
          <w:sz w:val="32"/>
          <w:szCs w:val="32"/>
          <w:highlight w:val="none"/>
        </w:rPr>
        <w:t>%，私营企业占</w:t>
      </w:r>
      <w:r>
        <w:rPr>
          <w:rFonts w:hint="eastAsia" w:ascii="仿宋" w:hAnsi="仿宋" w:eastAsia="仿宋" w:cs="仿宋"/>
          <w:color w:val="auto"/>
          <w:sz w:val="32"/>
          <w:szCs w:val="32"/>
          <w:highlight w:val="none"/>
          <w:lang w:val="en-US" w:eastAsia="zh-CN"/>
        </w:rPr>
        <w:t>71.7</w:t>
      </w:r>
      <w:r>
        <w:rPr>
          <w:rFonts w:hint="eastAsia" w:ascii="仿宋" w:hAnsi="仿宋" w:eastAsia="仿宋" w:cs="仿宋"/>
          <w:color w:val="auto"/>
          <w:sz w:val="32"/>
          <w:szCs w:val="32"/>
          <w:highlight w:val="none"/>
        </w:rPr>
        <w:t>%（详见表2-3）。</w:t>
      </w:r>
    </w:p>
    <w:tbl>
      <w:tblPr>
        <w:tblStyle w:val="3"/>
        <w:tblW w:w="7068" w:type="dxa"/>
        <w:jc w:val="center"/>
        <w:tblLayout w:type="fixed"/>
        <w:tblCellMar>
          <w:top w:w="0" w:type="dxa"/>
          <w:left w:w="0" w:type="dxa"/>
          <w:bottom w:w="0" w:type="dxa"/>
          <w:right w:w="0" w:type="dxa"/>
        </w:tblCellMar>
      </w:tblPr>
      <w:tblGrid>
        <w:gridCol w:w="2690"/>
        <w:gridCol w:w="2189"/>
        <w:gridCol w:w="2189"/>
      </w:tblGrid>
      <w:tr>
        <w:tblPrEx>
          <w:tblCellMar>
            <w:top w:w="0" w:type="dxa"/>
            <w:left w:w="0" w:type="dxa"/>
            <w:bottom w:w="0" w:type="dxa"/>
            <w:right w:w="0" w:type="dxa"/>
          </w:tblCellMar>
        </w:tblPrEx>
        <w:trPr>
          <w:trHeight w:val="288" w:hRule="atLeast"/>
          <w:jc w:val="center"/>
        </w:trPr>
        <w:tc>
          <w:tcPr>
            <w:tcW w:w="7068" w:type="dxa"/>
            <w:gridSpan w:val="3"/>
            <w:tcBorders>
              <w:top w:val="nil"/>
              <w:left w:val="nil"/>
              <w:bottom w:val="single" w:color="auto" w:sz="8"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b/>
                <w:bCs/>
                <w:i w:val="0"/>
                <w:color w:val="000000"/>
                <w:kern w:val="0"/>
                <w:sz w:val="28"/>
                <w:szCs w:val="28"/>
                <w:u w:val="none"/>
                <w:lang w:val="en-US" w:eastAsia="zh-CN" w:bidi="ar"/>
              </w:rPr>
              <w:t>表2-3 按登记注册类型分组的企业法人单位</w:t>
            </w:r>
          </w:p>
        </w:tc>
      </w:tr>
      <w:tr>
        <w:tblPrEx>
          <w:tblCellMar>
            <w:top w:w="0" w:type="dxa"/>
            <w:left w:w="0" w:type="dxa"/>
            <w:bottom w:w="0" w:type="dxa"/>
            <w:right w:w="0" w:type="dxa"/>
          </w:tblCellMar>
        </w:tblPrEx>
        <w:trPr>
          <w:trHeight w:val="576" w:hRule="atLeast"/>
          <w:jc w:val="center"/>
        </w:trPr>
        <w:tc>
          <w:tcPr>
            <w:tcW w:w="2690" w:type="dxa"/>
            <w:tcBorders>
              <w:top w:val="single" w:color="auto" w:sz="8" w:space="0"/>
              <w:left w:val="nil"/>
              <w:bottom w:val="single" w:color="auto" w:sz="8" w:space="0"/>
              <w:right w:val="single" w:color="auto" w:sz="8" w:space="0"/>
            </w:tcBorders>
            <w:noWrap/>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2189" w:type="dxa"/>
            <w:tcBorders>
              <w:top w:val="single" w:color="auto" w:sz="8" w:space="0"/>
              <w:left w:val="single" w:color="auto" w:sz="8" w:space="0"/>
              <w:bottom w:val="single" w:color="auto" w:sz="8" w:space="0"/>
              <w:right w:val="single" w:color="auto"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单位数（个）</w:t>
            </w:r>
          </w:p>
        </w:tc>
        <w:tc>
          <w:tcPr>
            <w:tcW w:w="2189" w:type="dxa"/>
            <w:tcBorders>
              <w:top w:val="single" w:color="auto" w:sz="8" w:space="0"/>
              <w:left w:val="single" w:color="auto" w:sz="8" w:space="0"/>
              <w:bottom w:val="single" w:color="auto" w:sz="8"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比重（%）</w:t>
            </w:r>
          </w:p>
        </w:tc>
      </w:tr>
      <w:tr>
        <w:tblPrEx>
          <w:tblCellMar>
            <w:top w:w="0" w:type="dxa"/>
            <w:left w:w="0" w:type="dxa"/>
            <w:bottom w:w="0" w:type="dxa"/>
            <w:right w:w="0" w:type="dxa"/>
          </w:tblCellMar>
        </w:tblPrEx>
        <w:trPr>
          <w:trHeight w:val="334" w:hRule="atLeast"/>
          <w:jc w:val="center"/>
        </w:trPr>
        <w:tc>
          <w:tcPr>
            <w:tcW w:w="2690" w:type="dxa"/>
            <w:tcBorders>
              <w:top w:val="single" w:color="auto" w:sz="8" w:space="0"/>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合  计</w:t>
            </w:r>
          </w:p>
        </w:tc>
        <w:tc>
          <w:tcPr>
            <w:tcW w:w="2189" w:type="dxa"/>
            <w:tcBorders>
              <w:top w:val="single" w:color="auto" w:sz="8" w:space="0"/>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12453</w:t>
            </w:r>
          </w:p>
        </w:tc>
        <w:tc>
          <w:tcPr>
            <w:tcW w:w="2189" w:type="dxa"/>
            <w:tcBorders>
              <w:top w:val="single" w:color="auto" w:sz="8" w:space="0"/>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内资企业</w:t>
            </w:r>
          </w:p>
        </w:tc>
        <w:tc>
          <w:tcPr>
            <w:tcW w:w="2189"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12217</w:t>
            </w:r>
          </w:p>
        </w:tc>
        <w:tc>
          <w:tcPr>
            <w:tcW w:w="2189"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98.1</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国有企业</w:t>
            </w:r>
          </w:p>
        </w:tc>
        <w:tc>
          <w:tcPr>
            <w:tcW w:w="2189"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2189"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0.8</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集体企业</w:t>
            </w:r>
          </w:p>
        </w:tc>
        <w:tc>
          <w:tcPr>
            <w:tcW w:w="2189"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w:t>
            </w:r>
          </w:p>
        </w:tc>
        <w:tc>
          <w:tcPr>
            <w:tcW w:w="2189"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0.3</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股份合作企业</w:t>
            </w:r>
          </w:p>
        </w:tc>
        <w:tc>
          <w:tcPr>
            <w:tcW w:w="2189"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2189"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0.1</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联营企业</w:t>
            </w:r>
          </w:p>
        </w:tc>
        <w:tc>
          <w:tcPr>
            <w:tcW w:w="2189"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2189"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0.1</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有限责任公司</w:t>
            </w:r>
          </w:p>
        </w:tc>
        <w:tc>
          <w:tcPr>
            <w:tcW w:w="2189"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2799</w:t>
            </w:r>
          </w:p>
        </w:tc>
        <w:tc>
          <w:tcPr>
            <w:tcW w:w="2189"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股份有限公司</w:t>
            </w:r>
          </w:p>
        </w:tc>
        <w:tc>
          <w:tcPr>
            <w:tcW w:w="2189"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329</w:t>
            </w:r>
          </w:p>
        </w:tc>
        <w:tc>
          <w:tcPr>
            <w:tcW w:w="2189"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私营企业</w:t>
            </w:r>
          </w:p>
        </w:tc>
        <w:tc>
          <w:tcPr>
            <w:tcW w:w="2189"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8931</w:t>
            </w:r>
          </w:p>
        </w:tc>
        <w:tc>
          <w:tcPr>
            <w:tcW w:w="2189"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71.7</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其他企业</w:t>
            </w:r>
          </w:p>
        </w:tc>
        <w:tc>
          <w:tcPr>
            <w:tcW w:w="2189"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2189"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港、澳、台商投资企业</w:t>
            </w:r>
          </w:p>
        </w:tc>
        <w:tc>
          <w:tcPr>
            <w:tcW w:w="2189"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w:t>
            </w:r>
          </w:p>
        </w:tc>
        <w:tc>
          <w:tcPr>
            <w:tcW w:w="2189"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r>
      <w:tr>
        <w:tblPrEx>
          <w:tblCellMar>
            <w:top w:w="0" w:type="dxa"/>
            <w:left w:w="0" w:type="dxa"/>
            <w:bottom w:w="0" w:type="dxa"/>
            <w:right w:w="0" w:type="dxa"/>
          </w:tblCellMar>
        </w:tblPrEx>
        <w:trPr>
          <w:trHeight w:val="334" w:hRule="atLeast"/>
          <w:jc w:val="center"/>
        </w:trPr>
        <w:tc>
          <w:tcPr>
            <w:tcW w:w="2690" w:type="dxa"/>
            <w:tcBorders>
              <w:top w:val="nil"/>
              <w:left w:val="nil"/>
              <w:bottom w:val="single" w:color="auto" w:sz="4" w:space="0"/>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外商投资企业</w:t>
            </w:r>
          </w:p>
        </w:tc>
        <w:tc>
          <w:tcPr>
            <w:tcW w:w="2189" w:type="dxa"/>
            <w:tcBorders>
              <w:top w:val="nil"/>
              <w:left w:val="single" w:color="auto" w:sz="8" w:space="0"/>
              <w:bottom w:val="single" w:color="auto" w:sz="4" w:space="0"/>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w:t>
            </w:r>
          </w:p>
        </w:tc>
        <w:tc>
          <w:tcPr>
            <w:tcW w:w="2189" w:type="dxa"/>
            <w:tcBorders>
              <w:top w:val="nil"/>
              <w:left w:val="single" w:color="auto" w:sz="8" w:space="0"/>
              <w:bottom w:val="single" w:color="auto" w:sz="4" w:space="0"/>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0.5</w:t>
            </w:r>
          </w:p>
        </w:tc>
      </w:tr>
    </w:tbl>
    <w:p>
      <w:pPr>
        <w:pStyle w:val="2"/>
        <w:keepNext w:val="0"/>
        <w:keepLines w:val="0"/>
        <w:pageBreakBefore w:val="0"/>
        <w:widowControl/>
        <w:numPr>
          <w:ilvl w:val="0"/>
          <w:numId w:val="1"/>
        </w:numPr>
        <w:kinsoku/>
        <w:wordWrap/>
        <w:overflowPunct/>
        <w:topLinePunct w:val="0"/>
        <w:autoSpaceDE/>
        <w:autoSpaceDN/>
        <w:bidi w:val="0"/>
        <w:adjustRightInd/>
        <w:snapToGrid/>
        <w:spacing w:line="567" w:lineRule="atLeast"/>
        <w:ind w:left="986" w:leftChars="0" w:firstLine="0" w:firstLineChars="0"/>
        <w:textAlignment w:val="auto"/>
        <w:rPr>
          <w:rFonts w:hint="eastAsia" w:ascii="黑体" w:hAnsi="黑体" w:eastAsia="黑体" w:cs="黑体"/>
          <w:color w:val="4C5157"/>
          <w:sz w:val="32"/>
          <w:szCs w:val="32"/>
        </w:rPr>
      </w:pPr>
      <w:r>
        <w:rPr>
          <w:rFonts w:hint="eastAsia" w:ascii="黑体" w:hAnsi="黑体" w:eastAsia="黑体" w:cs="黑体"/>
          <w:color w:val="4C5157"/>
          <w:sz w:val="32"/>
          <w:szCs w:val="32"/>
        </w:rPr>
        <w:t>从业人员</w:t>
      </w:r>
    </w:p>
    <w:p>
      <w:pPr>
        <w:pStyle w:val="2"/>
        <w:keepNext w:val="0"/>
        <w:keepLines w:val="0"/>
        <w:pageBreakBefore w:val="0"/>
        <w:widowControl/>
        <w:kinsoku/>
        <w:wordWrap/>
        <w:overflowPunct/>
        <w:topLinePunct w:val="0"/>
        <w:autoSpaceDE/>
        <w:autoSpaceDN/>
        <w:bidi w:val="0"/>
        <w:adjustRightInd/>
        <w:snapToGrid/>
        <w:spacing w:line="567" w:lineRule="atLeast"/>
        <w:ind w:firstLine="800" w:firstLineChars="250"/>
        <w:textAlignment w:val="auto"/>
        <w:rPr>
          <w:rFonts w:hint="eastAsia" w:ascii="仿宋" w:hAnsi="仿宋" w:eastAsia="仿宋" w:cs="仿宋"/>
          <w:color w:val="4C5157"/>
          <w:sz w:val="32"/>
          <w:szCs w:val="32"/>
        </w:rPr>
      </w:pPr>
      <w:r>
        <w:rPr>
          <w:rFonts w:hint="eastAsia" w:ascii="仿宋" w:hAnsi="仿宋" w:eastAsia="仿宋" w:cs="仿宋"/>
          <w:color w:val="auto"/>
          <w:sz w:val="32"/>
          <w:szCs w:val="32"/>
        </w:rPr>
        <w:t>2018年末，全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第二产业和第三产业法人单位从业人员</w:t>
      </w:r>
      <w:r>
        <w:rPr>
          <w:rFonts w:hint="eastAsia" w:ascii="仿宋" w:hAnsi="仿宋" w:eastAsia="仿宋" w:cs="仿宋"/>
          <w:color w:val="auto"/>
          <w:sz w:val="32"/>
          <w:szCs w:val="32"/>
          <w:lang w:val="en-US" w:eastAsia="zh-CN"/>
        </w:rPr>
        <w:t>24.27万</w:t>
      </w:r>
      <w:r>
        <w:rPr>
          <w:rFonts w:hint="eastAsia" w:ascii="仿宋" w:hAnsi="仿宋" w:eastAsia="仿宋" w:cs="仿宋"/>
          <w:color w:val="auto"/>
          <w:sz w:val="32"/>
          <w:szCs w:val="32"/>
        </w:rPr>
        <w:t>人，比2013年末增加</w:t>
      </w:r>
      <w:r>
        <w:rPr>
          <w:rFonts w:hint="eastAsia" w:ascii="仿宋" w:hAnsi="仿宋" w:eastAsia="仿宋" w:cs="仿宋"/>
          <w:color w:val="auto"/>
          <w:sz w:val="32"/>
          <w:szCs w:val="32"/>
          <w:lang w:val="en-US" w:eastAsia="zh-CN"/>
        </w:rPr>
        <w:t>2.32</w:t>
      </w:r>
      <w:r>
        <w:rPr>
          <w:rFonts w:hint="eastAsia" w:ascii="仿宋" w:hAnsi="仿宋" w:eastAsia="仿宋" w:cs="仿宋"/>
          <w:color w:val="auto"/>
          <w:sz w:val="32"/>
          <w:szCs w:val="32"/>
        </w:rPr>
        <w:t>万人，增长</w:t>
      </w:r>
      <w:r>
        <w:rPr>
          <w:rFonts w:hint="eastAsia" w:ascii="仿宋" w:hAnsi="仿宋" w:eastAsia="仿宋" w:cs="仿宋"/>
          <w:color w:val="auto"/>
          <w:sz w:val="32"/>
          <w:szCs w:val="32"/>
          <w:lang w:val="en-US" w:eastAsia="zh-CN"/>
        </w:rPr>
        <w:t>10.6</w:t>
      </w:r>
      <w:r>
        <w:rPr>
          <w:rFonts w:hint="eastAsia" w:ascii="仿宋" w:hAnsi="仿宋" w:eastAsia="仿宋" w:cs="仿宋"/>
          <w:color w:val="auto"/>
          <w:sz w:val="32"/>
          <w:szCs w:val="32"/>
        </w:rPr>
        <w:t>%，其中女性从业人员</w:t>
      </w:r>
      <w:r>
        <w:rPr>
          <w:rFonts w:hint="eastAsia" w:ascii="仿宋" w:hAnsi="仿宋" w:eastAsia="仿宋" w:cs="仿宋"/>
          <w:color w:val="auto"/>
          <w:sz w:val="32"/>
          <w:szCs w:val="32"/>
          <w:lang w:val="en-US" w:eastAsia="zh-CN"/>
        </w:rPr>
        <w:t>9.74</w:t>
      </w:r>
      <w:r>
        <w:rPr>
          <w:rFonts w:hint="eastAsia" w:ascii="仿宋" w:hAnsi="仿宋" w:eastAsia="仿宋" w:cs="仿宋"/>
          <w:color w:val="auto"/>
          <w:sz w:val="32"/>
          <w:szCs w:val="32"/>
        </w:rPr>
        <w:t>万人。第二产业的从业人员为</w:t>
      </w:r>
      <w:r>
        <w:rPr>
          <w:rFonts w:hint="eastAsia" w:ascii="仿宋" w:hAnsi="仿宋" w:eastAsia="仿宋" w:cs="仿宋"/>
          <w:color w:val="auto"/>
          <w:sz w:val="32"/>
          <w:szCs w:val="32"/>
          <w:lang w:val="en-US" w:eastAsia="zh-CN"/>
        </w:rPr>
        <w:t>10.74</w:t>
      </w:r>
      <w:r>
        <w:rPr>
          <w:rFonts w:hint="eastAsia" w:ascii="仿宋" w:hAnsi="仿宋" w:eastAsia="仿宋" w:cs="仿宋"/>
          <w:color w:val="auto"/>
          <w:sz w:val="32"/>
          <w:szCs w:val="32"/>
        </w:rPr>
        <w:t>万人，减少</w:t>
      </w:r>
      <w:r>
        <w:rPr>
          <w:rFonts w:hint="eastAsia" w:ascii="仿宋" w:hAnsi="仿宋" w:eastAsia="仿宋" w:cs="仿宋"/>
          <w:color w:val="auto"/>
          <w:sz w:val="32"/>
          <w:szCs w:val="32"/>
          <w:lang w:val="en-US" w:eastAsia="zh-CN"/>
        </w:rPr>
        <w:t>1.90</w:t>
      </w:r>
      <w:r>
        <w:rPr>
          <w:rFonts w:hint="eastAsia" w:ascii="仿宋" w:hAnsi="仿宋" w:eastAsia="仿宋" w:cs="仿宋"/>
          <w:color w:val="auto"/>
          <w:sz w:val="32"/>
          <w:szCs w:val="32"/>
        </w:rPr>
        <w:t>万人，下降</w:t>
      </w:r>
      <w:r>
        <w:rPr>
          <w:rFonts w:hint="eastAsia" w:ascii="仿宋" w:hAnsi="仿宋" w:eastAsia="仿宋" w:cs="仿宋"/>
          <w:color w:val="auto"/>
          <w:sz w:val="32"/>
          <w:szCs w:val="32"/>
          <w:lang w:val="en-US" w:eastAsia="zh-CN"/>
        </w:rPr>
        <w:t>15.0</w:t>
      </w:r>
      <w:r>
        <w:rPr>
          <w:rFonts w:hint="eastAsia" w:ascii="仿宋" w:hAnsi="仿宋" w:eastAsia="仿宋" w:cs="仿宋"/>
          <w:color w:val="auto"/>
          <w:sz w:val="32"/>
          <w:szCs w:val="32"/>
        </w:rPr>
        <w:t>%；第三产业的从业人员为</w:t>
      </w:r>
      <w:r>
        <w:rPr>
          <w:rFonts w:hint="eastAsia" w:ascii="仿宋" w:hAnsi="仿宋" w:eastAsia="仿宋" w:cs="仿宋"/>
          <w:color w:val="auto"/>
          <w:sz w:val="32"/>
          <w:szCs w:val="32"/>
          <w:lang w:val="en-US" w:eastAsia="zh-CN"/>
        </w:rPr>
        <w:t>13.54</w:t>
      </w:r>
      <w:r>
        <w:rPr>
          <w:rFonts w:hint="eastAsia" w:ascii="仿宋" w:hAnsi="仿宋" w:eastAsia="仿宋" w:cs="仿宋"/>
          <w:color w:val="auto"/>
          <w:sz w:val="32"/>
          <w:szCs w:val="32"/>
        </w:rPr>
        <w:t>万人，增加</w:t>
      </w:r>
      <w:r>
        <w:rPr>
          <w:rFonts w:hint="eastAsia" w:ascii="仿宋" w:hAnsi="仿宋" w:eastAsia="仿宋" w:cs="仿宋"/>
          <w:color w:val="auto"/>
          <w:sz w:val="32"/>
          <w:szCs w:val="32"/>
          <w:lang w:val="en-US" w:eastAsia="zh-CN"/>
        </w:rPr>
        <w:t>4.22</w:t>
      </w:r>
      <w:r>
        <w:rPr>
          <w:rFonts w:hint="eastAsia" w:ascii="仿宋" w:hAnsi="仿宋" w:eastAsia="仿宋" w:cs="仿宋"/>
          <w:color w:val="auto"/>
          <w:sz w:val="32"/>
          <w:szCs w:val="32"/>
        </w:rPr>
        <w:t>万人，增长</w:t>
      </w:r>
      <w:r>
        <w:rPr>
          <w:rFonts w:hint="eastAsia" w:ascii="仿宋" w:hAnsi="仿宋" w:eastAsia="仿宋" w:cs="仿宋"/>
          <w:color w:val="auto"/>
          <w:sz w:val="32"/>
          <w:szCs w:val="32"/>
          <w:lang w:val="en-US" w:eastAsia="zh-CN"/>
        </w:rPr>
        <w:t>45.2</w:t>
      </w:r>
      <w:r>
        <w:rPr>
          <w:rFonts w:hint="eastAsia" w:ascii="仿宋" w:hAnsi="仿宋" w:eastAsia="仿宋" w:cs="仿宋"/>
          <w:color w:val="auto"/>
          <w:sz w:val="32"/>
          <w:szCs w:val="32"/>
        </w:rPr>
        <w:t>%。个体经营户从业人员</w:t>
      </w:r>
      <w:r>
        <w:rPr>
          <w:rFonts w:hint="eastAsia" w:ascii="仿宋" w:hAnsi="仿宋" w:eastAsia="仿宋" w:cs="仿宋"/>
          <w:color w:val="auto"/>
          <w:sz w:val="32"/>
          <w:szCs w:val="32"/>
          <w:lang w:val="en-US" w:eastAsia="zh-CN"/>
        </w:rPr>
        <w:t>7.94</w:t>
      </w:r>
      <w:r>
        <w:rPr>
          <w:rFonts w:hint="eastAsia" w:ascii="仿宋" w:hAnsi="仿宋" w:eastAsia="仿宋" w:cs="仿宋"/>
          <w:color w:val="auto"/>
          <w:sz w:val="32"/>
          <w:szCs w:val="32"/>
        </w:rPr>
        <w:t>万人</w:t>
      </w:r>
      <w:r>
        <w:rPr>
          <w:rFonts w:hint="eastAsia" w:ascii="仿宋" w:hAnsi="仿宋" w:eastAsia="仿宋" w:cs="仿宋"/>
          <w:color w:val="4C5157"/>
          <w:sz w:val="32"/>
          <w:szCs w:val="32"/>
        </w:rPr>
        <w:t>。</w:t>
      </w:r>
    </w:p>
    <w:p>
      <w:pPr>
        <w:pStyle w:val="2"/>
        <w:spacing w:line="567" w:lineRule="atLeast"/>
        <w:ind w:firstLine="960" w:firstLineChars="300"/>
        <w:rPr>
          <w:rFonts w:hint="eastAsia" w:ascii="仿宋" w:hAnsi="仿宋" w:eastAsia="仿宋" w:cs="仿宋"/>
          <w:color w:val="4C5157"/>
          <w:sz w:val="32"/>
          <w:szCs w:val="32"/>
        </w:rPr>
      </w:pPr>
      <w:r>
        <w:rPr>
          <w:rFonts w:hint="eastAsia" w:ascii="仿宋" w:hAnsi="仿宋" w:eastAsia="仿宋" w:cs="仿宋"/>
          <w:color w:val="4C5157"/>
          <w:sz w:val="32"/>
          <w:szCs w:val="32"/>
        </w:rPr>
        <w:t>在法人单位从业人员中，位居前三位的行业是：制造业</w:t>
      </w:r>
      <w:r>
        <w:rPr>
          <w:rFonts w:hint="eastAsia" w:ascii="仿宋" w:hAnsi="仿宋" w:eastAsia="仿宋" w:cs="仿宋"/>
          <w:color w:val="4C5157"/>
          <w:sz w:val="32"/>
          <w:szCs w:val="32"/>
          <w:lang w:val="en-US" w:eastAsia="zh-CN"/>
        </w:rPr>
        <w:t>6.84</w:t>
      </w:r>
      <w:r>
        <w:rPr>
          <w:rFonts w:hint="eastAsia" w:ascii="仿宋" w:hAnsi="仿宋" w:eastAsia="仿宋" w:cs="仿宋"/>
          <w:color w:val="4C5157"/>
          <w:sz w:val="32"/>
          <w:szCs w:val="32"/>
        </w:rPr>
        <w:t>万人，占</w:t>
      </w:r>
      <w:r>
        <w:rPr>
          <w:rFonts w:hint="eastAsia" w:ascii="仿宋" w:hAnsi="仿宋" w:eastAsia="仿宋" w:cs="仿宋"/>
          <w:color w:val="4C5157"/>
          <w:sz w:val="32"/>
          <w:szCs w:val="32"/>
          <w:lang w:val="en-US" w:eastAsia="zh-CN"/>
        </w:rPr>
        <w:t>28.2</w:t>
      </w:r>
      <w:r>
        <w:rPr>
          <w:rFonts w:hint="eastAsia" w:ascii="仿宋" w:hAnsi="仿宋" w:eastAsia="仿宋" w:cs="仿宋"/>
          <w:color w:val="4C5157"/>
          <w:sz w:val="32"/>
          <w:szCs w:val="32"/>
        </w:rPr>
        <w:t>%；建筑业</w:t>
      </w:r>
      <w:r>
        <w:rPr>
          <w:rFonts w:hint="eastAsia" w:ascii="仿宋" w:hAnsi="仿宋" w:eastAsia="仿宋" w:cs="仿宋"/>
          <w:color w:val="4C5157"/>
          <w:sz w:val="32"/>
          <w:szCs w:val="32"/>
          <w:lang w:val="en-US" w:eastAsia="zh-CN"/>
        </w:rPr>
        <w:t>3.85</w:t>
      </w:r>
      <w:r>
        <w:rPr>
          <w:rFonts w:hint="eastAsia" w:ascii="仿宋" w:hAnsi="仿宋" w:eastAsia="仿宋" w:cs="仿宋"/>
          <w:color w:val="4C5157"/>
          <w:sz w:val="32"/>
          <w:szCs w:val="32"/>
        </w:rPr>
        <w:t>万人，占1</w:t>
      </w:r>
      <w:r>
        <w:rPr>
          <w:rFonts w:hint="eastAsia" w:ascii="仿宋" w:hAnsi="仿宋" w:eastAsia="仿宋" w:cs="仿宋"/>
          <w:color w:val="4C5157"/>
          <w:sz w:val="32"/>
          <w:szCs w:val="32"/>
          <w:lang w:val="en-US" w:eastAsia="zh-CN"/>
        </w:rPr>
        <w:t>5</w:t>
      </w:r>
      <w:r>
        <w:rPr>
          <w:rFonts w:hint="eastAsia" w:ascii="仿宋" w:hAnsi="仿宋" w:eastAsia="仿宋" w:cs="仿宋"/>
          <w:color w:val="4C5157"/>
          <w:sz w:val="32"/>
          <w:szCs w:val="32"/>
        </w:rPr>
        <w:t>.8%；批发和零售业</w:t>
      </w:r>
      <w:r>
        <w:rPr>
          <w:rFonts w:hint="eastAsia" w:ascii="仿宋" w:hAnsi="仿宋" w:eastAsia="仿宋" w:cs="仿宋"/>
          <w:color w:val="4C5157"/>
          <w:sz w:val="32"/>
          <w:szCs w:val="32"/>
          <w:lang w:val="en-US" w:eastAsia="zh-CN"/>
        </w:rPr>
        <w:t>3.10</w:t>
      </w:r>
      <w:r>
        <w:rPr>
          <w:rFonts w:hint="eastAsia" w:ascii="仿宋" w:hAnsi="仿宋" w:eastAsia="仿宋" w:cs="仿宋"/>
          <w:color w:val="4C5157"/>
          <w:sz w:val="32"/>
          <w:szCs w:val="32"/>
        </w:rPr>
        <w:t>万人，占</w:t>
      </w:r>
      <w:r>
        <w:rPr>
          <w:rFonts w:hint="eastAsia" w:ascii="仿宋" w:hAnsi="仿宋" w:eastAsia="仿宋" w:cs="仿宋"/>
          <w:color w:val="4C5157"/>
          <w:sz w:val="32"/>
          <w:szCs w:val="32"/>
          <w:lang w:val="en-US" w:eastAsia="zh-CN"/>
        </w:rPr>
        <w:t>12.8</w:t>
      </w:r>
      <w:r>
        <w:rPr>
          <w:rFonts w:hint="eastAsia" w:ascii="仿宋" w:hAnsi="仿宋" w:eastAsia="仿宋" w:cs="仿宋"/>
          <w:color w:val="4C5157"/>
          <w:sz w:val="32"/>
          <w:szCs w:val="32"/>
        </w:rPr>
        <w:t>%。在个体经营户从业人员中，位居前三位的行业是：批发和零售业</w:t>
      </w:r>
      <w:r>
        <w:rPr>
          <w:rFonts w:hint="eastAsia" w:ascii="仿宋" w:hAnsi="仿宋" w:eastAsia="仿宋" w:cs="仿宋"/>
          <w:color w:val="4C5157"/>
          <w:sz w:val="32"/>
          <w:szCs w:val="32"/>
          <w:lang w:val="en-US" w:eastAsia="zh-CN"/>
        </w:rPr>
        <w:t>3.01</w:t>
      </w:r>
      <w:r>
        <w:rPr>
          <w:rFonts w:hint="eastAsia" w:ascii="仿宋" w:hAnsi="仿宋" w:eastAsia="仿宋" w:cs="仿宋"/>
          <w:color w:val="4C5157"/>
          <w:sz w:val="32"/>
          <w:szCs w:val="32"/>
        </w:rPr>
        <w:t>万人，占</w:t>
      </w:r>
      <w:r>
        <w:rPr>
          <w:rFonts w:hint="eastAsia" w:ascii="仿宋" w:hAnsi="仿宋" w:eastAsia="仿宋" w:cs="仿宋"/>
          <w:color w:val="4C5157"/>
          <w:sz w:val="32"/>
          <w:szCs w:val="32"/>
          <w:lang w:val="en-US" w:eastAsia="zh-CN"/>
        </w:rPr>
        <w:t>37.9</w:t>
      </w:r>
      <w:r>
        <w:rPr>
          <w:rFonts w:hint="eastAsia" w:ascii="仿宋" w:hAnsi="仿宋" w:eastAsia="仿宋" w:cs="仿宋"/>
          <w:color w:val="4C5157"/>
          <w:sz w:val="32"/>
          <w:szCs w:val="32"/>
        </w:rPr>
        <w:t>%；制造业</w:t>
      </w:r>
      <w:r>
        <w:rPr>
          <w:rFonts w:hint="eastAsia" w:ascii="仿宋" w:hAnsi="仿宋" w:eastAsia="仿宋" w:cs="仿宋"/>
          <w:color w:val="4C5157"/>
          <w:sz w:val="32"/>
          <w:szCs w:val="32"/>
          <w:lang w:val="en-US" w:eastAsia="zh-CN"/>
        </w:rPr>
        <w:t>2.33</w:t>
      </w:r>
      <w:r>
        <w:rPr>
          <w:rFonts w:hint="eastAsia" w:ascii="仿宋" w:hAnsi="仿宋" w:eastAsia="仿宋" w:cs="仿宋"/>
          <w:color w:val="4C5157"/>
          <w:sz w:val="32"/>
          <w:szCs w:val="32"/>
        </w:rPr>
        <w:t>万人，占</w:t>
      </w:r>
      <w:r>
        <w:rPr>
          <w:rFonts w:hint="eastAsia" w:ascii="仿宋" w:hAnsi="仿宋" w:eastAsia="仿宋" w:cs="仿宋"/>
          <w:color w:val="4C5157"/>
          <w:sz w:val="32"/>
          <w:szCs w:val="32"/>
          <w:lang w:val="en-US" w:eastAsia="zh-CN"/>
        </w:rPr>
        <w:t>29.4</w:t>
      </w:r>
      <w:r>
        <w:rPr>
          <w:rFonts w:hint="eastAsia" w:ascii="仿宋" w:hAnsi="仿宋" w:eastAsia="仿宋" w:cs="仿宋"/>
          <w:color w:val="4C5157"/>
          <w:sz w:val="32"/>
          <w:szCs w:val="32"/>
        </w:rPr>
        <w:t>%；住宿和餐饮业</w:t>
      </w:r>
      <w:r>
        <w:rPr>
          <w:rFonts w:hint="eastAsia" w:ascii="仿宋" w:hAnsi="仿宋" w:eastAsia="仿宋" w:cs="仿宋"/>
          <w:color w:val="4C5157"/>
          <w:sz w:val="32"/>
          <w:szCs w:val="32"/>
          <w:lang w:val="en-US" w:eastAsia="zh-CN"/>
        </w:rPr>
        <w:t>0.97</w:t>
      </w:r>
      <w:r>
        <w:rPr>
          <w:rFonts w:hint="eastAsia" w:ascii="仿宋" w:hAnsi="仿宋" w:eastAsia="仿宋" w:cs="仿宋"/>
          <w:color w:val="4C5157"/>
          <w:sz w:val="32"/>
          <w:szCs w:val="32"/>
        </w:rPr>
        <w:t>万人，占</w:t>
      </w:r>
      <w:r>
        <w:rPr>
          <w:rFonts w:hint="eastAsia" w:ascii="仿宋" w:hAnsi="仿宋" w:eastAsia="仿宋" w:cs="仿宋"/>
          <w:color w:val="4C5157"/>
          <w:sz w:val="32"/>
          <w:szCs w:val="32"/>
          <w:lang w:val="en-US" w:eastAsia="zh-CN"/>
        </w:rPr>
        <w:t>12.2</w:t>
      </w:r>
      <w:r>
        <w:rPr>
          <w:rFonts w:hint="eastAsia" w:ascii="仿宋" w:hAnsi="仿宋" w:eastAsia="仿宋" w:cs="仿宋"/>
          <w:color w:val="4C5157"/>
          <w:sz w:val="32"/>
          <w:szCs w:val="32"/>
        </w:rPr>
        <w:t>%（详见表2-4）。</w:t>
      </w:r>
    </w:p>
    <w:tbl>
      <w:tblPr>
        <w:tblStyle w:val="3"/>
        <w:tblW w:w="9424" w:type="dxa"/>
        <w:jc w:val="center"/>
        <w:tblLayout w:type="fixed"/>
        <w:tblCellMar>
          <w:top w:w="0" w:type="dxa"/>
          <w:left w:w="0" w:type="dxa"/>
          <w:bottom w:w="0" w:type="dxa"/>
          <w:right w:w="0" w:type="dxa"/>
        </w:tblCellMar>
      </w:tblPr>
      <w:tblGrid>
        <w:gridCol w:w="3763"/>
        <w:gridCol w:w="1642"/>
        <w:gridCol w:w="1847"/>
        <w:gridCol w:w="2172"/>
      </w:tblGrid>
      <w:tr>
        <w:tblPrEx>
          <w:tblCellMar>
            <w:top w:w="0" w:type="dxa"/>
            <w:left w:w="0" w:type="dxa"/>
            <w:bottom w:w="0" w:type="dxa"/>
            <w:right w:w="0" w:type="dxa"/>
          </w:tblCellMar>
        </w:tblPrEx>
        <w:trPr>
          <w:trHeight w:val="288" w:hRule="atLeast"/>
          <w:jc w:val="center"/>
        </w:trPr>
        <w:tc>
          <w:tcPr>
            <w:tcW w:w="9424" w:type="dxa"/>
            <w:gridSpan w:val="4"/>
            <w:tcBorders>
              <w:top w:val="nil"/>
              <w:left w:val="nil"/>
              <w:bottom w:val="single" w:color="auto" w:sz="8" w:space="0"/>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b/>
                <w:bCs/>
                <w:i w:val="0"/>
                <w:color w:val="000000"/>
                <w:kern w:val="0"/>
                <w:sz w:val="28"/>
                <w:szCs w:val="28"/>
                <w:u w:val="none"/>
                <w:lang w:val="en-US" w:eastAsia="zh-CN" w:bidi="ar"/>
              </w:rPr>
              <w:t>表2-4 按行业门类分组的法人单位与个体经营户从业人员</w:t>
            </w:r>
          </w:p>
        </w:tc>
      </w:tr>
      <w:tr>
        <w:tblPrEx>
          <w:tblCellMar>
            <w:top w:w="0" w:type="dxa"/>
            <w:left w:w="0" w:type="dxa"/>
            <w:bottom w:w="0" w:type="dxa"/>
            <w:right w:w="0" w:type="dxa"/>
          </w:tblCellMar>
        </w:tblPrEx>
        <w:trPr>
          <w:trHeight w:val="507" w:hRule="atLeast"/>
          <w:jc w:val="center"/>
        </w:trPr>
        <w:tc>
          <w:tcPr>
            <w:tcW w:w="3763" w:type="dxa"/>
            <w:tcBorders>
              <w:top w:val="single" w:color="auto" w:sz="8" w:space="0"/>
              <w:left w:val="nil"/>
              <w:bottom w:val="nil"/>
              <w:right w:val="single" w:color="auto" w:sz="8" w:space="0"/>
            </w:tcBorders>
            <w:noWrap/>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1642" w:type="dxa"/>
            <w:vMerge w:val="restart"/>
            <w:tcBorders>
              <w:top w:val="single" w:color="auto" w:sz="8" w:space="0"/>
              <w:left w:val="single" w:color="auto" w:sz="8" w:space="0"/>
              <w:bottom w:val="single" w:color="auto" w:sz="8" w:space="0"/>
              <w:right w:val="single" w:color="auto"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法人单位</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从业人员（人）</w:t>
            </w:r>
          </w:p>
        </w:tc>
        <w:tc>
          <w:tcPr>
            <w:tcW w:w="1847" w:type="dxa"/>
            <w:tcBorders>
              <w:top w:val="single" w:color="auto" w:sz="8" w:space="0"/>
              <w:left w:val="single" w:color="auto" w:sz="8" w:space="0"/>
              <w:bottom w:val="single" w:color="auto" w:sz="8" w:space="0"/>
              <w:right w:val="single" w:color="auto" w:sz="8" w:space="0"/>
            </w:tcBorders>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172" w:type="dxa"/>
            <w:vMerge w:val="restart"/>
            <w:tcBorders>
              <w:top w:val="single" w:color="auto" w:sz="8" w:space="0"/>
              <w:left w:val="single" w:color="auto" w:sz="8" w:space="0"/>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个体经营户从业人员（人）</w:t>
            </w:r>
          </w:p>
        </w:tc>
      </w:tr>
      <w:tr>
        <w:tblPrEx>
          <w:tblCellMar>
            <w:top w:w="0" w:type="dxa"/>
            <w:left w:w="0" w:type="dxa"/>
            <w:bottom w:w="0" w:type="dxa"/>
            <w:right w:w="0" w:type="dxa"/>
          </w:tblCellMar>
        </w:tblPrEx>
        <w:trPr>
          <w:trHeight w:val="288" w:hRule="atLeast"/>
          <w:jc w:val="center"/>
        </w:trPr>
        <w:tc>
          <w:tcPr>
            <w:tcW w:w="3763" w:type="dxa"/>
            <w:tcBorders>
              <w:top w:val="nil"/>
              <w:left w:val="nil"/>
              <w:bottom w:val="single" w:color="auto" w:sz="8" w:space="0"/>
              <w:right w:val="single" w:color="auto" w:sz="8" w:space="0"/>
            </w:tcBorders>
            <w:noWrap/>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1642" w:type="dxa"/>
            <w:vMerge w:val="continue"/>
            <w:tcBorders>
              <w:top w:val="single" w:color="auto" w:sz="8" w:space="0"/>
              <w:left w:val="single" w:color="auto" w:sz="8" w:space="0"/>
              <w:bottom w:val="single" w:color="auto" w:sz="8" w:space="0"/>
              <w:right w:val="single" w:color="auto" w:sz="8" w:space="0"/>
            </w:tcBorders>
            <w:noWrap w:val="0"/>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1847" w:type="dxa"/>
            <w:tcBorders>
              <w:top w:val="single" w:color="auto" w:sz="8" w:space="0"/>
              <w:left w:val="single" w:color="auto" w:sz="8" w:space="0"/>
              <w:bottom w:val="single" w:color="auto" w:sz="8" w:space="0"/>
              <w:right w:val="single" w:color="auto"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其中：女性</w:t>
            </w:r>
          </w:p>
        </w:tc>
        <w:tc>
          <w:tcPr>
            <w:tcW w:w="2172" w:type="dxa"/>
            <w:vMerge w:val="continue"/>
            <w:tcBorders>
              <w:top w:val="nil"/>
              <w:left w:val="single" w:color="auto" w:sz="8" w:space="0"/>
              <w:bottom w:val="single" w:color="auto" w:sz="8"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12" w:hRule="atLeast"/>
          <w:jc w:val="center"/>
        </w:trPr>
        <w:tc>
          <w:tcPr>
            <w:tcW w:w="3763" w:type="dxa"/>
            <w:tcBorders>
              <w:top w:val="single" w:color="auto" w:sz="8" w:space="0"/>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  计</w:t>
            </w:r>
          </w:p>
        </w:tc>
        <w:tc>
          <w:tcPr>
            <w:tcW w:w="1642" w:type="dxa"/>
            <w:tcBorders>
              <w:top w:val="single" w:color="auto" w:sz="8" w:space="0"/>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242743</w:t>
            </w:r>
          </w:p>
        </w:tc>
        <w:tc>
          <w:tcPr>
            <w:tcW w:w="1847" w:type="dxa"/>
            <w:tcBorders>
              <w:top w:val="single" w:color="auto" w:sz="8" w:space="0"/>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97368</w:t>
            </w:r>
          </w:p>
        </w:tc>
        <w:tc>
          <w:tcPr>
            <w:tcW w:w="2172" w:type="dxa"/>
            <w:tcBorders>
              <w:top w:val="single" w:color="auto" w:sz="8" w:space="0"/>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79405</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采矿业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19</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制造业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68362</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33717</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23313</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电力、热力、燃气及水生产和供应业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462</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151</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建筑业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38457</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2479</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673</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批发和零售业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31039</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14775</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30101</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交通运输、仓储和邮政业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11246</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3345</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8414</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住宿和餐饮业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5040</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2437</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9690</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信息传输、软件和信息服务</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5445</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2094</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61</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金融业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21023</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11147</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房地产业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10999</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3987</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租赁和商务服务业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9841</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3943</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148</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科学研究和技术服务业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6133</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2094</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201</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水利、环境和公共设施管理业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662</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198</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居民服务、修理和其他服务业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3223</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1425</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6089</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教育</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11067</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8585</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151</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卫生和社会工作</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2898</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1911</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296</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nil"/>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文化、体育和娱乐业</w:t>
            </w:r>
          </w:p>
        </w:tc>
        <w:tc>
          <w:tcPr>
            <w:tcW w:w="1642"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2576</w:t>
            </w:r>
          </w:p>
        </w:tc>
        <w:tc>
          <w:tcPr>
            <w:tcW w:w="1847" w:type="dxa"/>
            <w:tcBorders>
              <w:top w:val="nil"/>
              <w:left w:val="single" w:color="auto" w:sz="8" w:space="0"/>
              <w:bottom w:val="nil"/>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1053</w:t>
            </w:r>
          </w:p>
        </w:tc>
        <w:tc>
          <w:tcPr>
            <w:tcW w:w="2172" w:type="dxa"/>
            <w:tcBorders>
              <w:top w:val="nil"/>
              <w:left w:val="single" w:color="auto"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221</w:t>
            </w:r>
          </w:p>
        </w:tc>
      </w:tr>
      <w:tr>
        <w:tblPrEx>
          <w:tblCellMar>
            <w:top w:w="0" w:type="dxa"/>
            <w:left w:w="0" w:type="dxa"/>
            <w:bottom w:w="0" w:type="dxa"/>
            <w:right w:w="0" w:type="dxa"/>
          </w:tblCellMar>
        </w:tblPrEx>
        <w:trPr>
          <w:trHeight w:val="312" w:hRule="atLeast"/>
          <w:jc w:val="center"/>
        </w:trPr>
        <w:tc>
          <w:tcPr>
            <w:tcW w:w="3763" w:type="dxa"/>
            <w:tcBorders>
              <w:top w:val="nil"/>
              <w:left w:val="nil"/>
              <w:bottom w:val="single" w:color="auto" w:sz="8" w:space="0"/>
              <w:right w:val="single" w:color="auto" w:sz="8"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公共管理、社会保障和社会组织</w:t>
            </w:r>
          </w:p>
        </w:tc>
        <w:tc>
          <w:tcPr>
            <w:tcW w:w="1642" w:type="dxa"/>
            <w:tcBorders>
              <w:top w:val="nil"/>
              <w:left w:val="single" w:color="auto" w:sz="8" w:space="0"/>
              <w:bottom w:val="single" w:color="auto" w:sz="8" w:space="0"/>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14200</w:t>
            </w:r>
          </w:p>
        </w:tc>
        <w:tc>
          <w:tcPr>
            <w:tcW w:w="1847" w:type="dxa"/>
            <w:tcBorders>
              <w:top w:val="nil"/>
              <w:left w:val="single" w:color="auto" w:sz="8" w:space="0"/>
              <w:bottom w:val="single" w:color="auto" w:sz="8" w:space="0"/>
              <w:right w:val="single" w:color="auto"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4007</w:t>
            </w:r>
          </w:p>
        </w:tc>
        <w:tc>
          <w:tcPr>
            <w:tcW w:w="2172" w:type="dxa"/>
            <w:tcBorders>
              <w:top w:val="nil"/>
              <w:left w:val="single" w:color="auto" w:sz="8" w:space="0"/>
              <w:bottom w:val="single" w:color="auto" w:sz="8" w:space="0"/>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288" w:hRule="atLeast"/>
          <w:jc w:val="center"/>
        </w:trPr>
        <w:tc>
          <w:tcPr>
            <w:tcW w:w="9424" w:type="dxa"/>
            <w:gridSpan w:val="4"/>
            <w:tcBorders>
              <w:top w:val="single" w:color="auto" w:sz="8" w:space="0"/>
              <w:left w:val="nil"/>
              <w:bottom w:val="nil"/>
              <w:right w:val="nil"/>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8"/>
                <w:szCs w:val="18"/>
                <w:u w:val="none"/>
                <w:lang w:val="en-US" w:eastAsia="zh-CN" w:bidi="ar"/>
              </w:rPr>
              <w:t>注：表中合计数含从事农、林、牧、渔专业及辅助性活动的法人单位与个体经营户从业人员。</w:t>
            </w:r>
          </w:p>
        </w:tc>
      </w:tr>
    </w:tbl>
    <w:p>
      <w:pPr>
        <w:pStyle w:val="2"/>
        <w:keepNext w:val="0"/>
        <w:keepLines w:val="0"/>
        <w:pageBreakBefore w:val="0"/>
        <w:widowControl/>
        <w:numPr>
          <w:ilvl w:val="0"/>
          <w:numId w:val="1"/>
        </w:numPr>
        <w:kinsoku/>
        <w:wordWrap/>
        <w:overflowPunct/>
        <w:topLinePunct w:val="0"/>
        <w:autoSpaceDE/>
        <w:autoSpaceDN/>
        <w:bidi w:val="0"/>
        <w:adjustRightInd/>
        <w:snapToGrid/>
        <w:spacing w:line="567" w:lineRule="atLeast"/>
        <w:ind w:left="480" w:leftChars="200" w:firstLine="0" w:firstLineChars="0"/>
        <w:textAlignment w:val="auto"/>
        <w:rPr>
          <w:rFonts w:hint="eastAsia" w:ascii="黑体" w:hAnsi="黑体" w:eastAsia="黑体" w:cs="黑体"/>
          <w:color w:val="4C5157"/>
          <w:sz w:val="32"/>
          <w:szCs w:val="32"/>
        </w:rPr>
      </w:pPr>
      <w:r>
        <w:rPr>
          <w:rFonts w:hint="eastAsia" w:ascii="黑体" w:hAnsi="黑体" w:eastAsia="黑体" w:cs="黑体"/>
          <w:color w:val="4C5157"/>
          <w:sz w:val="32"/>
          <w:szCs w:val="32"/>
        </w:rPr>
        <w:t>资产负债状况和营业收入</w:t>
      </w:r>
    </w:p>
    <w:p>
      <w:pPr>
        <w:pStyle w:val="2"/>
        <w:spacing w:line="567" w:lineRule="atLeast"/>
        <w:rPr>
          <w:rFonts w:hint="eastAsia" w:ascii="仿宋" w:hAnsi="仿宋" w:eastAsia="仿宋" w:cs="仿宋"/>
          <w:color w:val="4C5157"/>
          <w:sz w:val="32"/>
          <w:szCs w:val="32"/>
        </w:rPr>
      </w:pPr>
      <w:r>
        <w:rPr>
          <w:rFonts w:hint="eastAsia" w:ascii="仿宋" w:hAnsi="仿宋" w:eastAsia="仿宋" w:cs="仿宋"/>
          <w:color w:val="4C5157"/>
          <w:sz w:val="32"/>
          <w:szCs w:val="32"/>
        </w:rPr>
        <w:t>　</w:t>
      </w:r>
      <w:r>
        <w:rPr>
          <w:rFonts w:hint="eastAsia" w:ascii="仿宋" w:hAnsi="仿宋" w:eastAsia="仿宋" w:cs="仿宋"/>
          <w:color w:val="4C5157"/>
          <w:sz w:val="32"/>
          <w:szCs w:val="32"/>
          <w:lang w:val="en-US" w:eastAsia="zh-CN"/>
        </w:rPr>
        <w:t xml:space="preserve">  </w:t>
      </w:r>
      <w:r>
        <w:rPr>
          <w:rFonts w:hint="eastAsia" w:ascii="仿宋" w:hAnsi="仿宋" w:eastAsia="仿宋" w:cs="仿宋"/>
          <w:color w:val="4C5157"/>
          <w:sz w:val="32"/>
          <w:szCs w:val="32"/>
        </w:rPr>
        <w:t>2018年末，全</w:t>
      </w:r>
      <w:r>
        <w:rPr>
          <w:rFonts w:hint="eastAsia" w:ascii="仿宋" w:hAnsi="仿宋" w:eastAsia="仿宋" w:cs="仿宋"/>
          <w:color w:val="4C5157"/>
          <w:sz w:val="32"/>
          <w:szCs w:val="32"/>
          <w:lang w:eastAsia="zh-CN"/>
        </w:rPr>
        <w:t>区</w:t>
      </w:r>
      <w:r>
        <w:rPr>
          <w:rFonts w:hint="eastAsia" w:ascii="仿宋" w:hAnsi="仿宋" w:eastAsia="仿宋" w:cs="仿宋"/>
          <w:color w:val="4C5157"/>
          <w:sz w:val="32"/>
          <w:szCs w:val="32"/>
        </w:rPr>
        <w:t>第二产业和第三产业法人单位资产总计</w:t>
      </w:r>
      <w:r>
        <w:rPr>
          <w:rFonts w:hint="eastAsia" w:ascii="仿宋" w:hAnsi="仿宋" w:eastAsia="仿宋" w:cs="仿宋"/>
          <w:color w:val="4C5157"/>
          <w:sz w:val="32"/>
          <w:szCs w:val="32"/>
          <w:lang w:val="en-US" w:eastAsia="zh-CN"/>
        </w:rPr>
        <w:t>3024.84</w:t>
      </w:r>
      <w:r>
        <w:rPr>
          <w:rFonts w:hint="eastAsia" w:ascii="仿宋" w:hAnsi="仿宋" w:eastAsia="仿宋" w:cs="仿宋"/>
          <w:color w:val="4C5157"/>
          <w:sz w:val="32"/>
          <w:szCs w:val="32"/>
        </w:rPr>
        <w:t>亿元。其中，第二产业法人单位资产总计占比为</w:t>
      </w:r>
      <w:r>
        <w:rPr>
          <w:rFonts w:hint="eastAsia" w:ascii="仿宋" w:hAnsi="仿宋" w:eastAsia="仿宋" w:cs="仿宋"/>
          <w:color w:val="4C5157"/>
          <w:sz w:val="32"/>
          <w:szCs w:val="32"/>
          <w:lang w:val="en-US" w:eastAsia="zh-CN"/>
        </w:rPr>
        <w:t>23.5</w:t>
      </w:r>
      <w:r>
        <w:rPr>
          <w:rFonts w:hint="eastAsia" w:ascii="仿宋" w:hAnsi="仿宋" w:eastAsia="仿宋" w:cs="仿宋"/>
          <w:color w:val="4C5157"/>
          <w:sz w:val="32"/>
          <w:szCs w:val="32"/>
        </w:rPr>
        <w:t>%，第三产业法人单位资产总计占比为</w:t>
      </w:r>
      <w:r>
        <w:rPr>
          <w:rFonts w:hint="eastAsia" w:ascii="仿宋" w:hAnsi="仿宋" w:eastAsia="仿宋" w:cs="仿宋"/>
          <w:color w:val="4C5157"/>
          <w:sz w:val="32"/>
          <w:szCs w:val="32"/>
          <w:lang w:val="en-US" w:eastAsia="zh-CN"/>
        </w:rPr>
        <w:t>76.5</w:t>
      </w:r>
      <w:r>
        <w:rPr>
          <w:rFonts w:hint="eastAsia" w:ascii="仿宋" w:hAnsi="仿宋" w:eastAsia="仿宋" w:cs="仿宋"/>
          <w:color w:val="4C5157"/>
          <w:sz w:val="32"/>
          <w:szCs w:val="32"/>
        </w:rPr>
        <w:t>%。法人单位负债合计</w:t>
      </w:r>
      <w:r>
        <w:rPr>
          <w:rFonts w:hint="eastAsia" w:ascii="仿宋" w:hAnsi="仿宋" w:eastAsia="仿宋" w:cs="仿宋"/>
          <w:color w:val="4C5157"/>
          <w:sz w:val="32"/>
          <w:szCs w:val="32"/>
          <w:lang w:val="en-US" w:eastAsia="zh-CN"/>
        </w:rPr>
        <w:t>1744.87</w:t>
      </w:r>
      <w:r>
        <w:rPr>
          <w:rFonts w:hint="eastAsia" w:ascii="仿宋" w:hAnsi="仿宋" w:eastAsia="仿宋" w:cs="仿宋"/>
          <w:color w:val="4C5157"/>
          <w:sz w:val="32"/>
          <w:szCs w:val="32"/>
        </w:rPr>
        <w:t>亿元。其中，第二产业法人单位负债合计占比为</w:t>
      </w:r>
      <w:r>
        <w:rPr>
          <w:rFonts w:hint="eastAsia" w:ascii="仿宋" w:hAnsi="仿宋" w:eastAsia="仿宋" w:cs="仿宋"/>
          <w:color w:val="4C5157"/>
          <w:sz w:val="32"/>
          <w:szCs w:val="32"/>
          <w:lang w:val="en-US" w:eastAsia="zh-CN"/>
        </w:rPr>
        <w:t>20.9</w:t>
      </w:r>
      <w:r>
        <w:rPr>
          <w:rFonts w:hint="eastAsia" w:ascii="仿宋" w:hAnsi="仿宋" w:eastAsia="仿宋" w:cs="仿宋"/>
          <w:color w:val="4C5157"/>
          <w:sz w:val="32"/>
          <w:szCs w:val="32"/>
        </w:rPr>
        <w:t>%，第三产业法人单位负债合计占比为</w:t>
      </w:r>
      <w:r>
        <w:rPr>
          <w:rFonts w:hint="eastAsia" w:ascii="仿宋" w:hAnsi="仿宋" w:eastAsia="仿宋" w:cs="仿宋"/>
          <w:color w:val="4C5157"/>
          <w:sz w:val="32"/>
          <w:szCs w:val="32"/>
          <w:lang w:val="en-US" w:eastAsia="zh-CN"/>
        </w:rPr>
        <w:t>79.1</w:t>
      </w:r>
      <w:r>
        <w:rPr>
          <w:rFonts w:hint="eastAsia" w:ascii="仿宋" w:hAnsi="仿宋" w:eastAsia="仿宋" w:cs="仿宋"/>
          <w:color w:val="4C5157"/>
          <w:sz w:val="32"/>
          <w:szCs w:val="32"/>
        </w:rPr>
        <w:t>%。</w:t>
      </w:r>
    </w:p>
    <w:p>
      <w:pPr>
        <w:pStyle w:val="2"/>
        <w:spacing w:line="567" w:lineRule="atLeast"/>
        <w:rPr>
          <w:rFonts w:hint="eastAsia" w:ascii="仿宋" w:hAnsi="仿宋" w:eastAsia="仿宋" w:cs="仿宋"/>
          <w:color w:val="4C5157"/>
          <w:sz w:val="32"/>
          <w:szCs w:val="32"/>
        </w:rPr>
      </w:pPr>
      <w:r>
        <w:rPr>
          <w:rFonts w:hint="eastAsia"/>
          <w:color w:val="4C5157"/>
          <w:sz w:val="27"/>
          <w:szCs w:val="27"/>
        </w:rPr>
        <w:t>　　</w:t>
      </w:r>
      <w:r>
        <w:rPr>
          <w:rFonts w:hint="eastAsia" w:ascii="仿宋" w:hAnsi="仿宋" w:eastAsia="仿宋" w:cs="仿宋"/>
          <w:color w:val="4C5157"/>
          <w:sz w:val="32"/>
          <w:szCs w:val="32"/>
        </w:rPr>
        <w:t>2018年，全</w:t>
      </w:r>
      <w:r>
        <w:rPr>
          <w:rFonts w:hint="eastAsia" w:ascii="仿宋" w:hAnsi="仿宋" w:eastAsia="仿宋" w:cs="仿宋"/>
          <w:color w:val="4C5157"/>
          <w:sz w:val="32"/>
          <w:szCs w:val="32"/>
          <w:lang w:eastAsia="zh-CN"/>
        </w:rPr>
        <w:t>区</w:t>
      </w:r>
      <w:r>
        <w:rPr>
          <w:rFonts w:hint="eastAsia" w:ascii="仿宋" w:hAnsi="仿宋" w:eastAsia="仿宋" w:cs="仿宋"/>
          <w:color w:val="4C5157"/>
          <w:sz w:val="32"/>
          <w:szCs w:val="32"/>
        </w:rPr>
        <w:t>第二产业和第三产业企业法人单位实现营业收入</w:t>
      </w:r>
      <w:r>
        <w:rPr>
          <w:rFonts w:hint="eastAsia" w:ascii="仿宋" w:hAnsi="仿宋" w:eastAsia="仿宋" w:cs="仿宋"/>
          <w:color w:val="4C5157"/>
          <w:sz w:val="32"/>
          <w:szCs w:val="32"/>
          <w:lang w:val="en-US" w:eastAsia="zh-CN"/>
        </w:rPr>
        <w:t>1686.60</w:t>
      </w:r>
      <w:r>
        <w:rPr>
          <w:rFonts w:hint="eastAsia" w:ascii="仿宋" w:hAnsi="仿宋" w:eastAsia="仿宋" w:cs="仿宋"/>
          <w:color w:val="4C5157"/>
          <w:sz w:val="32"/>
          <w:szCs w:val="32"/>
        </w:rPr>
        <w:t>亿元。其中，第二产业营业收入占比为</w:t>
      </w:r>
      <w:r>
        <w:rPr>
          <w:rFonts w:hint="eastAsia" w:ascii="仿宋" w:hAnsi="仿宋" w:eastAsia="仿宋" w:cs="仿宋"/>
          <w:color w:val="4C5157"/>
          <w:sz w:val="32"/>
          <w:szCs w:val="32"/>
          <w:lang w:val="en-US" w:eastAsia="zh-CN"/>
        </w:rPr>
        <w:t>38.1</w:t>
      </w:r>
      <w:r>
        <w:rPr>
          <w:rFonts w:hint="eastAsia" w:ascii="仿宋" w:hAnsi="仿宋" w:eastAsia="仿宋" w:cs="仿宋"/>
          <w:color w:val="4C5157"/>
          <w:sz w:val="32"/>
          <w:szCs w:val="32"/>
        </w:rPr>
        <w:t>%，第三产业营业收入占比为</w:t>
      </w:r>
      <w:r>
        <w:rPr>
          <w:rFonts w:hint="eastAsia" w:ascii="仿宋" w:hAnsi="仿宋" w:eastAsia="仿宋" w:cs="仿宋"/>
          <w:color w:val="4C5157"/>
          <w:sz w:val="32"/>
          <w:szCs w:val="32"/>
          <w:lang w:val="en-US" w:eastAsia="zh-CN"/>
        </w:rPr>
        <w:t>61.9</w:t>
      </w:r>
      <w:r>
        <w:rPr>
          <w:rFonts w:hint="eastAsia" w:ascii="仿宋" w:hAnsi="仿宋" w:eastAsia="仿宋" w:cs="仿宋"/>
          <w:color w:val="4C5157"/>
          <w:sz w:val="32"/>
          <w:szCs w:val="32"/>
        </w:rPr>
        <w:t>%（详见表2-5）。</w:t>
      </w:r>
    </w:p>
    <w:tbl>
      <w:tblPr>
        <w:tblStyle w:val="3"/>
        <w:tblW w:w="9304" w:type="dxa"/>
        <w:jc w:val="center"/>
        <w:tblLayout w:type="autofit"/>
        <w:tblCellMar>
          <w:top w:w="0" w:type="dxa"/>
          <w:left w:w="0" w:type="dxa"/>
          <w:bottom w:w="0" w:type="dxa"/>
          <w:right w:w="0" w:type="dxa"/>
        </w:tblCellMar>
      </w:tblPr>
      <w:tblGrid>
        <w:gridCol w:w="3852"/>
        <w:gridCol w:w="1817"/>
        <w:gridCol w:w="1817"/>
        <w:gridCol w:w="1818"/>
      </w:tblGrid>
      <w:tr>
        <w:tblPrEx>
          <w:tblCellMar>
            <w:top w:w="0" w:type="dxa"/>
            <w:left w:w="0" w:type="dxa"/>
            <w:bottom w:w="0" w:type="dxa"/>
            <w:right w:w="0" w:type="dxa"/>
          </w:tblCellMar>
        </w:tblPrEx>
        <w:trPr>
          <w:trHeight w:val="288" w:hRule="atLeast"/>
          <w:jc w:val="center"/>
        </w:trPr>
        <w:tc>
          <w:tcPr>
            <w:tcW w:w="9304" w:type="dxa"/>
            <w:gridSpan w:val="4"/>
            <w:tcBorders>
              <w:top w:val="nil"/>
              <w:left w:val="nil"/>
              <w:bottom w:val="single" w:color="000000" w:sz="8"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b/>
                <w:bCs/>
                <w:i w:val="0"/>
                <w:color w:val="000000"/>
                <w:kern w:val="0"/>
                <w:sz w:val="28"/>
                <w:szCs w:val="28"/>
                <w:u w:val="none"/>
                <w:lang w:val="en-US" w:eastAsia="zh-CN" w:bidi="ar"/>
              </w:rPr>
              <w:t>表2-5 按行业门类分组的单位资产负债状况和营业收入</w:t>
            </w:r>
          </w:p>
        </w:tc>
      </w:tr>
      <w:tr>
        <w:tblPrEx>
          <w:tblCellMar>
            <w:top w:w="0" w:type="dxa"/>
            <w:left w:w="0" w:type="dxa"/>
            <w:bottom w:w="0" w:type="dxa"/>
            <w:right w:w="0" w:type="dxa"/>
          </w:tblCellMar>
        </w:tblPrEx>
        <w:trPr>
          <w:trHeight w:val="576" w:hRule="atLeast"/>
          <w:jc w:val="center"/>
        </w:trPr>
        <w:tc>
          <w:tcPr>
            <w:tcW w:w="3852"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181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法人单位</w:t>
            </w:r>
          </w:p>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资产总计</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（万元）</w:t>
            </w:r>
          </w:p>
        </w:tc>
        <w:tc>
          <w:tcPr>
            <w:tcW w:w="1817" w:type="dxa"/>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法人单位</w:t>
            </w:r>
          </w:p>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负债合计</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（万元）</w:t>
            </w:r>
          </w:p>
        </w:tc>
        <w:tc>
          <w:tcPr>
            <w:tcW w:w="1818" w:type="dxa"/>
            <w:tcBorders>
              <w:top w:val="single" w:color="000000" w:sz="8" w:space="0"/>
              <w:left w:val="single" w:color="000000" w:sz="8" w:space="0"/>
              <w:bottom w:val="single" w:color="000000" w:sz="8"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企业法人单位</w:t>
            </w:r>
          </w:p>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营业收入</w:t>
            </w:r>
          </w:p>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（万元）</w:t>
            </w:r>
          </w:p>
        </w:tc>
      </w:tr>
      <w:tr>
        <w:tblPrEx>
          <w:tblCellMar>
            <w:top w:w="0" w:type="dxa"/>
            <w:left w:w="0" w:type="dxa"/>
            <w:bottom w:w="0" w:type="dxa"/>
            <w:right w:w="0" w:type="dxa"/>
          </w:tblCellMar>
        </w:tblPrEx>
        <w:trPr>
          <w:trHeight w:val="315" w:hRule="atLeast"/>
          <w:jc w:val="center"/>
        </w:trPr>
        <w:tc>
          <w:tcPr>
            <w:tcW w:w="3852" w:type="dxa"/>
            <w:tcBorders>
              <w:top w:val="single" w:color="000000" w:sz="8" w:space="0"/>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合  计</w:t>
            </w:r>
          </w:p>
        </w:tc>
        <w:tc>
          <w:tcPr>
            <w:tcW w:w="1817" w:type="dxa"/>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30248438.2</w:t>
            </w:r>
          </w:p>
        </w:tc>
        <w:tc>
          <w:tcPr>
            <w:tcW w:w="1817" w:type="dxa"/>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17448736.3</w:t>
            </w:r>
          </w:p>
        </w:tc>
        <w:tc>
          <w:tcPr>
            <w:tcW w:w="1818" w:type="dxa"/>
            <w:tcBorders>
              <w:top w:val="single" w:color="000000" w:sz="8" w:space="0"/>
              <w:left w:val="single" w:color="000000" w:sz="8" w:space="0"/>
              <w:bottom w:val="nil"/>
              <w:right w:val="nil"/>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16865950.8</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采矿业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582.8</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454.1</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1516.2</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制造业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4468328.2</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1543158.8</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4354759.3</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电力、热力、燃气及水生产和供应业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357909.8</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173215.1</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18856.7</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建筑业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2275143.3</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1927397.2</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2054190.1</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批发和零售业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2952857.6</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1723239.0</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7198839.2</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交通运输、仓储和邮政业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2291818.1</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1000963.6</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570230.0</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住宿和餐饮业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120187.6</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98980.2</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100714.7</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信息传输、软件和信息服务</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969950.0</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425370.3</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407425.1</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金融业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82794.3</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4731.7</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20895.1</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房地产业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11608996.0</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8353335.9</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1629469.8</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租赁和商务服务业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1908383.6</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805869.0</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252046.9</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科学研究和技术服务业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186209.2</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93009.6</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116095.0</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水利、环境和公共设施管理业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1426527.7</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878787.9</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21651.9</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居民服务、修理和其他服务业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44416.6</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16273.0</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47624.5</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教育</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148661.1</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45388.2</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13942.0</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卫生和社会工作</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248968.4</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132902.3</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17057.8</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文化、体育和娱乐业</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103849.8</w:t>
            </w:r>
          </w:p>
        </w:tc>
        <w:tc>
          <w:tcPr>
            <w:tcW w:w="1817" w:type="dxa"/>
            <w:tcBorders>
              <w:top w:val="nil"/>
              <w:left w:val="single" w:color="000000" w:sz="8" w:space="0"/>
              <w:bottom w:val="nil"/>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17921.8</w:t>
            </w:r>
          </w:p>
        </w:tc>
        <w:tc>
          <w:tcPr>
            <w:tcW w:w="1818" w:type="dxa"/>
            <w:tcBorders>
              <w:top w:val="nil"/>
              <w:left w:val="single" w:color="000000" w:sz="8" w:space="0"/>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37027.1</w:t>
            </w:r>
          </w:p>
        </w:tc>
      </w:tr>
      <w:tr>
        <w:tblPrEx>
          <w:tblCellMar>
            <w:top w:w="0" w:type="dxa"/>
            <w:left w:w="0" w:type="dxa"/>
            <w:bottom w:w="0" w:type="dxa"/>
            <w:right w:w="0" w:type="dxa"/>
          </w:tblCellMar>
        </w:tblPrEx>
        <w:trPr>
          <w:trHeight w:val="315" w:hRule="atLeast"/>
          <w:jc w:val="center"/>
        </w:trPr>
        <w:tc>
          <w:tcPr>
            <w:tcW w:w="385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公共管理、社会保障和社会组织</w:t>
            </w:r>
          </w:p>
        </w:tc>
        <w:tc>
          <w:tcPr>
            <w:tcW w:w="1817" w:type="dxa"/>
            <w:tcBorders>
              <w:top w:val="nil"/>
              <w:left w:val="single" w:color="000000" w:sz="8" w:space="0"/>
              <w:bottom w:val="single" w:color="000000" w:sz="4" w:space="0"/>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1048879.1</w:t>
            </w:r>
          </w:p>
        </w:tc>
        <w:tc>
          <w:tcPr>
            <w:tcW w:w="1817" w:type="dxa"/>
            <w:tcBorders>
              <w:top w:val="nil"/>
              <w:left w:val="single" w:color="000000" w:sz="8" w:space="0"/>
              <w:bottom w:val="single" w:color="000000" w:sz="4" w:space="0"/>
              <w:right w:val="single" w:color="000000" w:sz="8"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206514.1</w:t>
            </w:r>
          </w:p>
        </w:tc>
        <w:tc>
          <w:tcPr>
            <w:tcW w:w="1818" w:type="dxa"/>
            <w:tcBorders>
              <w:top w:val="nil"/>
              <w:left w:val="single" w:color="000000" w:sz="8" w:space="0"/>
              <w:bottom w:val="single" w:color="000000" w:sz="4" w:space="0"/>
              <w:right w:val="nil"/>
            </w:tcBorders>
            <w:noWrap/>
            <w:tcMar>
              <w:top w:w="12" w:type="dxa"/>
              <w:left w:w="12" w:type="dxa"/>
              <w:right w:w="12" w:type="dxa"/>
            </w:tcMar>
            <w:vAlign w:val="center"/>
          </w:tcPr>
          <w:p>
            <w:pPr>
              <w:keepNext w:val="0"/>
              <w:keepLines w:val="0"/>
              <w:widowControl/>
              <w:suppressLineNumbers w:val="0"/>
              <w:jc w:val="righ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1080" w:hRule="atLeast"/>
          <w:jc w:val="center"/>
        </w:trPr>
        <w:tc>
          <w:tcPr>
            <w:tcW w:w="9304" w:type="dxa"/>
            <w:gridSpan w:val="4"/>
            <w:tcBorders>
              <w:top w:val="single" w:color="000000" w:sz="4" w:space="0"/>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  </w:t>
            </w:r>
            <w:r>
              <w:rPr>
                <w:rFonts w:hint="eastAsia" w:ascii="仿宋" w:hAnsi="仿宋" w:eastAsia="仿宋" w:cs="仿宋"/>
                <w:i w:val="0"/>
                <w:color w:val="000000"/>
                <w:kern w:val="0"/>
                <w:sz w:val="18"/>
                <w:szCs w:val="18"/>
                <w:u w:val="none"/>
                <w:lang w:val="en-US" w:eastAsia="zh-CN" w:bidi="ar"/>
              </w:rPr>
              <w:t>注：表中合计数含从事农、林、牧、渔专业及辅助性活动和兼营第二、三产业活动的农、林、牧、渔业的单位数据。表中企业法人单位，包括机构类型为企业法人的法人单位，以及执行企业会计制度的事业法人单位、民办非企业法人单位和基金会，农民专业合作社，农村集体经济组织和除宗教活动场所以外的机构类型为其他组织机构的法人单位。表中金融业数据仅包含金融部门监管以外的单位数据。</w:t>
            </w:r>
          </w:p>
        </w:tc>
      </w:tr>
    </w:tbl>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color w:val="4C5157"/>
          <w:sz w:val="27"/>
          <w:szCs w:val="27"/>
        </w:rPr>
        <w:t>　　</w:t>
      </w:r>
      <w:r>
        <w:rPr>
          <w:rFonts w:hint="eastAsia" w:ascii="仿宋" w:hAnsi="仿宋" w:eastAsia="仿宋" w:cs="仿宋"/>
          <w:color w:val="4C5157"/>
          <w:sz w:val="24"/>
          <w:szCs w:val="24"/>
        </w:rPr>
        <w:t>注释：</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[1]三次产业的划分：　　</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第一产业是指农、林、牧、渔业（不含农、林、牧、渔专业及辅助性活动）。</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第二产业是指采矿业（不含开采专业及辅助性活动），制造业（不含金属制品、机械和设备修理业），电力、热力、燃气及水生产和供应业，建筑业。</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[2]单位的划分：</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法人单位是指有权拥有资产、承担负债，并独立从事社会经济活动（或与其他单位进行交易）的组织。法人单位应同时具备以下条件：</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（1）依法成立，有自己的名称、组织机构和场所，能够独立承担负债和其他民事责任；</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（2）独立拥有和使用（或受权使用）资产，有权与其他单位签订合同；</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（3）会计上独立核算，能够编制资产负债表等会计报表。</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法人单位包括企业法人、事业单位法人、机关法人、社会团体法人、其他法人等。</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产业活动单位是指位于一个地点，从事一种或主要从事一种社会经济活动的组织或组织的一部分。产业活动单位应同时具备以下条件：</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（1）在一个场所从事一种或主要从事一种社会经济活动；</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（2）相对独立地组织生产活动或经营活动；</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（3）能提供收入或者支出等相关资料。</w:t>
      </w:r>
    </w:p>
    <w:p>
      <w:pPr>
        <w:pStyle w:val="2"/>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[3]表中的合计数和部分计算数据因小数取舍而产生的误差，均未作机械调整。</w:t>
      </w:r>
    </w:p>
    <w:p>
      <w:pPr>
        <w:pStyle w:val="2"/>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4C5157"/>
          <w:sz w:val="24"/>
          <w:szCs w:val="24"/>
        </w:rPr>
      </w:pPr>
      <w:r>
        <w:rPr>
          <w:rFonts w:hint="eastAsia" w:ascii="仿宋" w:hAnsi="仿宋" w:eastAsia="仿宋" w:cs="仿宋"/>
          <w:color w:val="4C5157"/>
          <w:sz w:val="24"/>
          <w:szCs w:val="24"/>
        </w:rPr>
        <w:t>　[4]“…”表示数据不足该表最小单位数。</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F6987"/>
    <w:multiLevelType w:val="singleLevel"/>
    <w:tmpl w:val="FDEF6987"/>
    <w:lvl w:ilvl="0" w:tentative="0">
      <w:start w:val="2"/>
      <w:numFmt w:val="chineseCounting"/>
      <w:suff w:val="nothing"/>
      <w:lvlText w:val="%1、"/>
      <w:lvlJc w:val="left"/>
      <w:pPr>
        <w:ind w:left="113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724C1"/>
    <w:rsid w:val="11985AA0"/>
    <w:rsid w:val="13EB4DAB"/>
    <w:rsid w:val="21551B69"/>
    <w:rsid w:val="23C91D76"/>
    <w:rsid w:val="24061AA4"/>
    <w:rsid w:val="2B4C6CA9"/>
    <w:rsid w:val="2B503BEC"/>
    <w:rsid w:val="2C051FDC"/>
    <w:rsid w:val="315608C1"/>
    <w:rsid w:val="381C4F69"/>
    <w:rsid w:val="38CC46DC"/>
    <w:rsid w:val="3F11651D"/>
    <w:rsid w:val="40B53917"/>
    <w:rsid w:val="41806400"/>
    <w:rsid w:val="45D36644"/>
    <w:rsid w:val="46DF463A"/>
    <w:rsid w:val="47690526"/>
    <w:rsid w:val="5154325B"/>
    <w:rsid w:val="5BF259D1"/>
    <w:rsid w:val="5DE844CB"/>
    <w:rsid w:val="5E361AC0"/>
    <w:rsid w:val="6093280B"/>
    <w:rsid w:val="64BA10CA"/>
    <w:rsid w:val="65064DB3"/>
    <w:rsid w:val="660515B0"/>
    <w:rsid w:val="6AD80CAE"/>
    <w:rsid w:val="6BFB3F20"/>
    <w:rsid w:val="6D5B2319"/>
    <w:rsid w:val="6D666843"/>
    <w:rsid w:val="6E414D58"/>
    <w:rsid w:val="7A4B4888"/>
    <w:rsid w:val="7DC724C1"/>
    <w:rsid w:val="7E990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2020-05-18T01:19:00Z</dcterms:created>
  <dc:creator>Administrator</dc:creator>
  <cp:lastModifiedBy>Xiao</cp:lastModifiedBy>
  <cp:lastPrinted>2020-09-27T08:30:00Z</cp:lastPrinted>
  <dcterms:modified xsi:type="dcterms:W3CDTF">2020-12-09T03:15:31Z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