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龙湖区第四次全国经济普查公报（第六号）</w:t>
      </w:r>
    </w:p>
    <w:p>
      <w:pPr>
        <w:widowControl/>
        <w:spacing w:line="600" w:lineRule="exact"/>
        <w:jc w:val="center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  <w:t>——部分新兴产业基本情况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sz w:val="32"/>
          <w:szCs w:val="32"/>
        </w:rPr>
        <w:t>统计局</w:t>
      </w:r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龙湖区</w:t>
      </w:r>
      <w:r>
        <w:rPr>
          <w:rFonts w:hint="eastAsia" w:ascii="楷体" w:hAnsi="楷体" w:eastAsia="楷体" w:cs="楷体"/>
          <w:sz w:val="32"/>
          <w:szCs w:val="32"/>
        </w:rPr>
        <w:t>第四次全国经济普查领导小组办公室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2020年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根据第四次全国经济普查结果，现将我区部分新兴产业的主要数据公布如下： 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一、工业战略性新兴产业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2018年末，全区从事战略性新兴产业生产的规模以上工业企业法人单位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5个，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占规模以上工业企业法人单位的</w:t>
      </w:r>
      <w:r>
        <w:rPr>
          <w:rFonts w:ascii="Times New Roman" w:hAnsi="Times New Roman" w:eastAsia="仿宋_GB2312" w:cs="Times New Roman"/>
          <w:sz w:val="32"/>
          <w:szCs w:val="32"/>
        </w:rPr>
        <w:t>10.3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%。其中，生物产业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个，占工业战略性新兴产业企业法人单位的</w:t>
      </w:r>
      <w:r>
        <w:rPr>
          <w:rFonts w:ascii="Times New Roman" w:hAnsi="Times New Roman" w:eastAsia="仿宋_GB2312" w:cs="Times New Roman"/>
          <w:sz w:val="32"/>
          <w:szCs w:val="32"/>
        </w:rPr>
        <w:t>28.0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%；新材料产业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个，占2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.0%；新一代信息技术产业5个，占2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二、高技术制造业</w:t>
      </w:r>
    </w:p>
    <w:p>
      <w:pPr>
        <w:widowControl/>
        <w:spacing w:line="48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2018年末，全区共有规模以上高技术制造业企业法人单位</w:t>
      </w:r>
      <w:r>
        <w:rPr>
          <w:rFonts w:ascii="Times New Roman" w:hAnsi="Times New Roman" w:eastAsia="仿宋_GB2312" w:cs="Times New Roman"/>
          <w:sz w:val="32"/>
          <w:szCs w:val="32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个，比2013年末下降1</w:t>
      </w:r>
      <w:r>
        <w:rPr>
          <w:rFonts w:ascii="Times New Roman" w:hAnsi="Times New Roman" w:eastAsia="仿宋_GB2312" w:cs="Times New Roman"/>
          <w:sz w:val="32"/>
          <w:szCs w:val="32"/>
        </w:rPr>
        <w:t>1.5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%；占规模以上制造业的比重为</w:t>
      </w:r>
      <w:r>
        <w:rPr>
          <w:rFonts w:ascii="Times New Roman" w:hAnsi="Times New Roman" w:eastAsia="仿宋_GB2312" w:cs="Times New Roman"/>
          <w:sz w:val="32"/>
          <w:szCs w:val="32"/>
        </w:rPr>
        <w:t>9.5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%，比2013年下降0</w:t>
      </w:r>
      <w:r>
        <w:rPr>
          <w:rFonts w:ascii="Times New Roman" w:hAnsi="Times New Roman" w:eastAsia="仿宋_GB2312" w:cs="Times New Roman"/>
          <w:sz w:val="32"/>
          <w:szCs w:val="32"/>
        </w:rPr>
        <w:t>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个百分点；</w:t>
      </w:r>
      <w:r>
        <w:rPr>
          <w:rFonts w:ascii="Times New Roman" w:hAnsi="Times New Roman" w:eastAsia="仿宋_GB2312"/>
          <w:sz w:val="32"/>
        </w:rPr>
        <w:t>实现工业增加值</w:t>
      </w: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ascii="Times New Roman" w:hAnsi="Times New Roman" w:eastAsia="仿宋_GB2312"/>
          <w:sz w:val="32"/>
        </w:rPr>
        <w:t>8.47亿元，比</w:t>
      </w:r>
      <w:r>
        <w:rPr>
          <w:rFonts w:hint="eastAsia" w:ascii="Times New Roman" w:hAnsi="Times New Roman" w:eastAsia="仿宋_GB2312"/>
          <w:sz w:val="32"/>
        </w:rPr>
        <w:t>2</w:t>
      </w:r>
      <w:r>
        <w:rPr>
          <w:rFonts w:ascii="Times New Roman" w:hAnsi="Times New Roman" w:eastAsia="仿宋_GB2312"/>
          <w:sz w:val="32"/>
        </w:rPr>
        <w:t>013年增长</w:t>
      </w:r>
      <w:r>
        <w:rPr>
          <w:rFonts w:hint="eastAsia" w:ascii="Times New Roman" w:hAnsi="Times New Roman" w:eastAsia="仿宋_GB2312"/>
          <w:sz w:val="32"/>
        </w:rPr>
        <w:t>6</w:t>
      </w:r>
      <w:r>
        <w:rPr>
          <w:rFonts w:ascii="Times New Roman" w:hAnsi="Times New Roman" w:eastAsia="仿宋_GB2312"/>
          <w:sz w:val="32"/>
        </w:rPr>
        <w:t>0.0%。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2018年，规模以上高技术制造业企业法人单位全年专利申请量</w:t>
      </w:r>
      <w:r>
        <w:rPr>
          <w:rFonts w:ascii="Times New Roman" w:hAnsi="Times New Roman" w:eastAsia="仿宋_GB2312" w:cs="Times New Roman"/>
          <w:sz w:val="32"/>
          <w:szCs w:val="32"/>
        </w:rPr>
        <w:t>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件，其中发明专利申请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件，分别比2013年增长1</w:t>
      </w:r>
      <w:r>
        <w:rPr>
          <w:rFonts w:ascii="Times New Roman" w:hAnsi="Times New Roman" w:eastAsia="仿宋_GB2312" w:cs="Times New Roman"/>
          <w:sz w:val="32"/>
          <w:szCs w:val="32"/>
        </w:rPr>
        <w:t>67.6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%和8</w:t>
      </w:r>
      <w:r>
        <w:rPr>
          <w:rFonts w:ascii="Times New Roman" w:hAnsi="Times New Roman" w:eastAsia="仿宋_GB2312" w:cs="Times New Roman"/>
          <w:sz w:val="32"/>
          <w:szCs w:val="32"/>
        </w:rPr>
        <w:t>1.8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%；发明专利申请所占比重为</w:t>
      </w:r>
      <w:r>
        <w:rPr>
          <w:rFonts w:ascii="Times New Roman" w:hAnsi="Times New Roman" w:eastAsia="仿宋_GB2312" w:cs="Times New Roman"/>
          <w:sz w:val="32"/>
          <w:szCs w:val="32"/>
        </w:rPr>
        <w:t>40.4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%，比规模以上制造业平均水平高</w:t>
      </w:r>
      <w:r>
        <w:rPr>
          <w:rFonts w:ascii="Times New Roman" w:hAnsi="Times New Roman" w:eastAsia="仿宋_GB2312" w:cs="Times New Roman"/>
          <w:sz w:val="32"/>
          <w:szCs w:val="32"/>
        </w:rPr>
        <w:t>18.6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个百分点。 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三、工业企业研究与试验发展活动 </w:t>
      </w:r>
    </w:p>
    <w:p>
      <w:pPr>
        <w:widowControl/>
        <w:spacing w:line="48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2018年，开展R&amp;D（全称研究与试验发展，以下简称R&amp;D）活动的规模以上工业企业法人单位</w:t>
      </w:r>
      <w:r>
        <w:rPr>
          <w:rFonts w:ascii="Times New Roman" w:hAnsi="Times New Roman" w:eastAsia="仿宋_GB2312" w:cs="Times New Roman"/>
          <w:sz w:val="32"/>
          <w:szCs w:val="32"/>
        </w:rPr>
        <w:t>72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个，比2013年增长</w:t>
      </w:r>
      <w:r>
        <w:rPr>
          <w:rFonts w:ascii="Times New Roman" w:hAnsi="Times New Roman" w:eastAsia="仿宋_GB2312" w:cs="Times New Roman"/>
          <w:sz w:val="32"/>
          <w:szCs w:val="32"/>
        </w:rPr>
        <w:t>111.7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%；占全部规模以上工业企业法人单位的2</w:t>
      </w:r>
      <w:r>
        <w:rPr>
          <w:rFonts w:ascii="Times New Roman" w:hAnsi="Times New Roman" w:eastAsia="仿宋_GB2312" w:cs="Times New Roman"/>
          <w:sz w:val="32"/>
          <w:szCs w:val="32"/>
        </w:rPr>
        <w:t>9.6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%，比2</w:t>
      </w:r>
      <w:r>
        <w:rPr>
          <w:rFonts w:ascii="Times New Roman" w:hAnsi="Times New Roman" w:eastAsia="仿宋_GB2312" w:cs="Times New Roman"/>
          <w:sz w:val="32"/>
          <w:szCs w:val="32"/>
        </w:rPr>
        <w:t>013年提高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6.9个百分点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 </w:t>
      </w:r>
    </w:p>
    <w:p>
      <w:pPr>
        <w:widowControl/>
        <w:spacing w:line="48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2018年，规模以上工业企业法人单位R&amp;D人员折合全时当量</w:t>
      </w:r>
      <w:r>
        <w:rPr>
          <w:rFonts w:ascii="Times New Roman" w:hAnsi="Times New Roman" w:eastAsia="仿宋_GB2312" w:cs="Times New Roman"/>
          <w:sz w:val="32"/>
          <w:szCs w:val="32"/>
        </w:rPr>
        <w:t>3737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人年，比2013年增长1</w:t>
      </w:r>
      <w:r>
        <w:rPr>
          <w:rFonts w:ascii="Times New Roman" w:hAnsi="Times New Roman" w:eastAsia="仿宋_GB2312" w:cs="Times New Roman"/>
          <w:sz w:val="32"/>
          <w:szCs w:val="32"/>
        </w:rPr>
        <w:t>20.2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2018年，规模以上工业企业法人单位R&amp;D经费支出</w:t>
      </w:r>
      <w:r>
        <w:rPr>
          <w:rFonts w:ascii="Times New Roman" w:hAnsi="Times New Roman" w:eastAsia="仿宋_GB2312" w:cs="Times New Roman"/>
          <w:sz w:val="32"/>
          <w:szCs w:val="32"/>
        </w:rPr>
        <w:t>6.50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亿元，比2013年增长1</w:t>
      </w:r>
      <w:r>
        <w:rPr>
          <w:rFonts w:ascii="Times New Roman" w:hAnsi="Times New Roman" w:eastAsia="仿宋_GB2312" w:cs="Times New Roman"/>
          <w:sz w:val="32"/>
          <w:szCs w:val="32"/>
        </w:rPr>
        <w:t>11.7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%；R&amp;D经费与营业收入之比为</w:t>
      </w:r>
      <w:r>
        <w:rPr>
          <w:rFonts w:ascii="Times New Roman" w:hAnsi="Times New Roman" w:eastAsia="仿宋_GB2312" w:cs="Times New Roman"/>
          <w:sz w:val="32"/>
          <w:szCs w:val="32"/>
        </w:rPr>
        <w:t>1.66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%。规模以上工业企业法人单位分行业R&amp;D经费支出及R&amp;D经费与营业收入之比详见表6-1。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2018年，规模以上工业企业法人单位全年专利申请量</w:t>
      </w:r>
      <w:r>
        <w:rPr>
          <w:rFonts w:ascii="Times New Roman" w:hAnsi="Times New Roman" w:eastAsia="仿宋_GB2312" w:cs="Times New Roman"/>
          <w:sz w:val="32"/>
          <w:szCs w:val="32"/>
        </w:rPr>
        <w:t>417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件，其中发明专利申请</w:t>
      </w:r>
      <w:r>
        <w:rPr>
          <w:rFonts w:ascii="Times New Roman" w:hAnsi="Times New Roman" w:eastAsia="仿宋_GB2312" w:cs="Times New Roman"/>
          <w:sz w:val="32"/>
          <w:szCs w:val="32"/>
        </w:rPr>
        <w:t>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件，分别比2013年增长1</w:t>
      </w:r>
      <w:r>
        <w:rPr>
          <w:rFonts w:ascii="Times New Roman" w:hAnsi="Times New Roman" w:eastAsia="仿宋_GB2312" w:cs="Times New Roman"/>
          <w:sz w:val="32"/>
          <w:szCs w:val="32"/>
        </w:rPr>
        <w:t>26.6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%和3</w:t>
      </w:r>
      <w:r>
        <w:rPr>
          <w:rFonts w:ascii="Times New Roman" w:hAnsi="Times New Roman" w:eastAsia="仿宋_GB2312" w:cs="Times New Roman"/>
          <w:sz w:val="32"/>
          <w:szCs w:val="32"/>
        </w:rPr>
        <w:t>7.9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%；发明专利申请所占比重为</w:t>
      </w:r>
      <w:r>
        <w:rPr>
          <w:rFonts w:ascii="Times New Roman" w:hAnsi="Times New Roman" w:eastAsia="仿宋_GB2312" w:cs="Times New Roman"/>
          <w:sz w:val="32"/>
          <w:szCs w:val="32"/>
        </w:rPr>
        <w:t>21.8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%，比2013年减少1</w:t>
      </w:r>
      <w:r>
        <w:rPr>
          <w:rFonts w:ascii="Times New Roman" w:hAnsi="Times New Roman" w:eastAsia="仿宋_GB2312" w:cs="Times New Roman"/>
          <w:sz w:val="32"/>
          <w:szCs w:val="32"/>
        </w:rPr>
        <w:t>4.1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个百分点。 </w:t>
      </w:r>
    </w:p>
    <w:tbl>
      <w:tblPr>
        <w:tblStyle w:val="5"/>
        <w:tblW w:w="5336" w:type="pct"/>
        <w:tblInd w:w="-2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2327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表6-1 按行业大类分组的规模以上工业企业法人单位R&amp;D经费支出及R&amp;D经费与营业收入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4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R&amp;D经费支出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(万元)</w:t>
            </w:r>
          </w:p>
        </w:tc>
        <w:tc>
          <w:tcPr>
            <w:tcW w:w="12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R&amp;D经费与营业收入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之比（%）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 xml:space="preserve">64950.5 </w:t>
            </w:r>
          </w:p>
        </w:tc>
        <w:tc>
          <w:tcPr>
            <w:tcW w:w="1254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 xml:space="preserve">1.66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煤炭开采和洗选业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石油和天然气开采业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黑色金属矿采选业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有色金属矿采选业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非金属矿采选业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开采专业及辅助性活动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其他采矿业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农副食品加工业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300.1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食品制造业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酒、饮料和精制茶制造业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451.9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烟草制品业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纺织业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纺织服装、服饰业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382.1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皮革、毛皮、羽毛及其制品和制鞋业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309.6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木材加工和木、竹、藤、棕、草制品业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家具制造业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造纸和纸制品业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1012.5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印刷和记录媒介复制业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372.0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文教、工美、体育和娱乐用品制造业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4371.9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石油、煤炭及其他燃料加工业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化学原料和化学制品制造业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2367.9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医药制造业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5383.9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化学纤维制造业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橡胶和塑料制品业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2030.3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非金属矿物制品业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217.5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有色金属冶炼和压延加工业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4485.7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5.03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金属制品业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通用设备制造业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883.5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专用设备制造业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1515.9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汽车制造业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53.8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铁路、船舶、航空航天和其他运输设备制造业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电气机械和器材制造业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33067.3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3.51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计算机、通信和其他电子设备制造业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7738.2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2.18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仪器仪表制造业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6.4 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其他制造业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废弃资源综合利用业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金属制品、机械和设备修理业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电力、热力生产和供应业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燃气生产和供应业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24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水的生产和供应业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pc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0" w:firstLineChars="150"/>
        <w:textAlignment w:val="auto"/>
        <w:rPr>
          <w:rFonts w:hint="eastAsia" w:ascii="仿宋" w:hAnsi="仿宋" w:eastAsia="仿宋" w:cs="仿宋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四、文化及相关产业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2018年末，全区有文化及相关产业法人单位1932个，从业人员18505人，资产总计119.07亿元。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701" w:bottom="1021" w:left="1701" w:header="851" w:footer="4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197559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FC"/>
    <w:rsid w:val="00042230"/>
    <w:rsid w:val="00050B4C"/>
    <w:rsid w:val="0005659D"/>
    <w:rsid w:val="000A7488"/>
    <w:rsid w:val="000C645D"/>
    <w:rsid w:val="000E5E63"/>
    <w:rsid w:val="0015035E"/>
    <w:rsid w:val="001F690F"/>
    <w:rsid w:val="00294AD7"/>
    <w:rsid w:val="00296CA3"/>
    <w:rsid w:val="002C0A37"/>
    <w:rsid w:val="002C2228"/>
    <w:rsid w:val="002C36B3"/>
    <w:rsid w:val="00301B5B"/>
    <w:rsid w:val="003E15D6"/>
    <w:rsid w:val="003E434C"/>
    <w:rsid w:val="004025D3"/>
    <w:rsid w:val="004025FC"/>
    <w:rsid w:val="004444B6"/>
    <w:rsid w:val="004B5583"/>
    <w:rsid w:val="004E73B7"/>
    <w:rsid w:val="005331EB"/>
    <w:rsid w:val="00545CD4"/>
    <w:rsid w:val="005A24DA"/>
    <w:rsid w:val="005F1520"/>
    <w:rsid w:val="00605E4B"/>
    <w:rsid w:val="00693FA9"/>
    <w:rsid w:val="006A6D11"/>
    <w:rsid w:val="007242AB"/>
    <w:rsid w:val="007A53F6"/>
    <w:rsid w:val="007A72E9"/>
    <w:rsid w:val="007B3091"/>
    <w:rsid w:val="007C053A"/>
    <w:rsid w:val="00847DC7"/>
    <w:rsid w:val="008C30A2"/>
    <w:rsid w:val="0090459E"/>
    <w:rsid w:val="009630C7"/>
    <w:rsid w:val="00964D95"/>
    <w:rsid w:val="009806C0"/>
    <w:rsid w:val="009813C4"/>
    <w:rsid w:val="00986155"/>
    <w:rsid w:val="009A53E2"/>
    <w:rsid w:val="009E2079"/>
    <w:rsid w:val="00A018B8"/>
    <w:rsid w:val="00A654CA"/>
    <w:rsid w:val="00A81BB0"/>
    <w:rsid w:val="00AD084A"/>
    <w:rsid w:val="00B27442"/>
    <w:rsid w:val="00B342E0"/>
    <w:rsid w:val="00B62BA7"/>
    <w:rsid w:val="00C23A2A"/>
    <w:rsid w:val="00C5614F"/>
    <w:rsid w:val="00CA5337"/>
    <w:rsid w:val="00DE1D7A"/>
    <w:rsid w:val="00DF1B8A"/>
    <w:rsid w:val="00DF5BED"/>
    <w:rsid w:val="00E674CF"/>
    <w:rsid w:val="00EC1B88"/>
    <w:rsid w:val="00EF1960"/>
    <w:rsid w:val="00F47B29"/>
    <w:rsid w:val="00F5280F"/>
    <w:rsid w:val="00F835E7"/>
    <w:rsid w:val="00F97C43"/>
    <w:rsid w:val="00FB713D"/>
    <w:rsid w:val="00FD2D24"/>
    <w:rsid w:val="094C76EC"/>
    <w:rsid w:val="1D96596B"/>
    <w:rsid w:val="25E03970"/>
    <w:rsid w:val="621C3660"/>
    <w:rsid w:val="64241F64"/>
    <w:rsid w:val="6C6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4693E-F7F9-4075-9BC2-87601BCEB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1525</Characters>
  <Lines>12</Lines>
  <Paragraphs>3</Paragraphs>
  <TotalTime>4</TotalTime>
  <ScaleCrop>false</ScaleCrop>
  <LinksUpToDate>false</LinksUpToDate>
  <CharactersWithSpaces>1789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2020-04-06T07:52:00Z</dcterms:created>
  <dc:creator>zhao shuce</dc:creator>
  <cp:lastModifiedBy>Xiao</cp:lastModifiedBy>
  <dcterms:modified xsi:type="dcterms:W3CDTF">2020-09-30T02:25:29Z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