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FD7F32">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ascii="Times New Roman" w:hAnsi="Times New Roman" w:eastAsia="仿宋_GB2312"/>
          <w:b/>
          <w:bCs/>
          <w:sz w:val="32"/>
          <w:szCs w:val="32"/>
          <w:lang w:eastAsia="zh-CN"/>
        </w:rPr>
      </w:pPr>
      <w:r>
        <w:rPr>
          <w:rFonts w:ascii="Times New Roman" w:hAnsi="Times New Roman" w:eastAsia="仿宋_GB2312"/>
          <w:b/>
          <w:bCs/>
          <w:sz w:val="32"/>
          <w:szCs w:val="32"/>
          <w:lang w:eastAsia="zh-CN"/>
        </w:rPr>
        <w:t>附件：</w:t>
      </w:r>
    </w:p>
    <w:p w14:paraId="28530091">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ascii="Times New Roman" w:hAnsi="Times New Roman" w:eastAsia="方正小标宋简体" w:cs="Times New Roman"/>
          <w:sz w:val="44"/>
          <w:szCs w:val="44"/>
          <w:lang w:eastAsia="zh-CN"/>
        </w:rPr>
      </w:pPr>
    </w:p>
    <w:p w14:paraId="495CD192">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龙湖区关于支持产业有序转移促进区域协调发展的专项扶持措施</w:t>
      </w:r>
      <w:bookmarkStart w:id="0" w:name="_GoBack"/>
      <w:bookmarkEnd w:id="0"/>
      <w:r>
        <w:rPr>
          <w:rFonts w:hint="eastAsia" w:ascii="Times New Roman" w:hAnsi="Times New Roman" w:eastAsia="方正小标宋简体" w:cs="Times New Roman"/>
          <w:sz w:val="44"/>
          <w:szCs w:val="44"/>
          <w:lang w:eastAsia="zh-CN"/>
        </w:rPr>
        <w:t>（修订稿）</w:t>
      </w:r>
    </w:p>
    <w:p w14:paraId="0765E50B">
      <w:pPr>
        <w:keepNext w:val="0"/>
        <w:keepLines w:val="0"/>
        <w:pageBreakBefore w:val="0"/>
        <w:widowControl w:val="0"/>
        <w:tabs>
          <w:tab w:val="center" w:pos="4428"/>
          <w:tab w:val="left" w:pos="6431"/>
        </w:tabs>
        <w:kinsoku/>
        <w:wordWrap/>
        <w:overflowPunct/>
        <w:topLinePunct w:val="0"/>
        <w:autoSpaceDE/>
        <w:autoSpaceDN/>
        <w:bidi w:val="0"/>
        <w:adjustRightInd/>
        <w:snapToGrid/>
        <w:spacing w:line="520" w:lineRule="exact"/>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ab/>
      </w:r>
    </w:p>
    <w:p w14:paraId="77F49454">
      <w:pPr>
        <w:keepNext w:val="0"/>
        <w:keepLines w:val="0"/>
        <w:pageBreakBefore w:val="0"/>
        <w:widowControl w:val="0"/>
        <w:tabs>
          <w:tab w:val="center" w:pos="4428"/>
          <w:tab w:val="left" w:pos="6431"/>
        </w:tabs>
        <w:kinsoku/>
        <w:wordWrap/>
        <w:overflowPunct/>
        <w:topLinePunct w:val="0"/>
        <w:autoSpaceDE/>
        <w:autoSpaceDN/>
        <w:bidi w:val="0"/>
        <w:adjustRightInd/>
        <w:snapToGrid/>
        <w:spacing w:line="520" w:lineRule="exact"/>
        <w:jc w:val="center"/>
        <w:textAlignment w:val="auto"/>
        <w:rPr>
          <w:rFonts w:ascii="Times New Roman" w:hAnsi="Times New Roman" w:eastAsia="楷体_GB2312" w:cs="Times New Roman"/>
          <w:color w:val="auto"/>
          <w:sz w:val="32"/>
          <w:szCs w:val="32"/>
          <w:lang w:val="en-US" w:eastAsia="zh-CN"/>
        </w:rPr>
      </w:pPr>
      <w:r>
        <w:rPr>
          <w:rFonts w:ascii="Times New Roman" w:hAnsi="Times New Roman" w:eastAsia="楷体_GB2312" w:cs="Times New Roman"/>
          <w:color w:val="auto"/>
          <w:sz w:val="32"/>
          <w:szCs w:val="32"/>
          <w:lang w:val="en-US" w:eastAsia="zh-CN"/>
        </w:rPr>
        <w:t>（征求意见稿）</w:t>
      </w:r>
    </w:p>
    <w:p w14:paraId="37154628">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ascii="Times New Roman" w:hAnsi="Times New Roman" w:eastAsia="方正小标宋简体" w:cs="Times New Roman"/>
          <w:sz w:val="44"/>
          <w:szCs w:val="44"/>
        </w:rPr>
      </w:pPr>
    </w:p>
    <w:p w14:paraId="45B75909">
      <w:pPr>
        <w:keepNext w:val="0"/>
        <w:keepLines w:val="0"/>
        <w:pageBreakBefore w:val="0"/>
        <w:widowControl/>
        <w:kinsoku/>
        <w:wordWrap/>
        <w:overflowPunct/>
        <w:topLinePunct w:val="0"/>
        <w:autoSpaceDE/>
        <w:autoSpaceDN/>
        <w:bidi w:val="0"/>
        <w:adjustRightInd/>
        <w:snapToGrid/>
        <w:spacing w:line="240" w:lineRule="auto"/>
        <w:ind w:left="0" w:firstLine="636" w:firstLineChars="200"/>
        <w:jc w:val="both"/>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第一条 </w:t>
      </w:r>
      <w:r>
        <w:rPr>
          <w:rFonts w:ascii="Times New Roman" w:hAnsi="Times New Roman" w:eastAsia="仿宋_GB2312" w:cs="Times New Roman"/>
          <w:color w:val="auto"/>
          <w:sz w:val="32"/>
          <w:szCs w:val="32"/>
        </w:rPr>
        <w:t>为全面贯彻落实《中共广东省委关于实施“百县千镇万村高质量发展工程”促进城乡区域协调发展的决定》《中共广东省委、广东省人民政府印发〈关于推动产业有序转移促进区域协调发展的若干措施〉的通知》《中共广东省委办公厅、广东省人民政府办公厅关于印发〈珠三角地区与粤东粤西粤北地区对口帮扶协作实施方案（2023—2025 年）〉的通知》，结合龙湖区实际，特制定本措施。</w:t>
      </w:r>
    </w:p>
    <w:p w14:paraId="5095E9E6">
      <w:pPr>
        <w:keepNext w:val="0"/>
        <w:keepLines w:val="0"/>
        <w:pageBreakBefore w:val="0"/>
        <w:widowControl w:val="0"/>
        <w:kinsoku/>
        <w:wordWrap/>
        <w:overflowPunct/>
        <w:topLinePunct w:val="0"/>
        <w:autoSpaceDE/>
        <w:autoSpaceDN/>
        <w:bidi w:val="0"/>
        <w:adjustRightInd/>
        <w:snapToGrid/>
        <w:spacing w:line="240" w:lineRule="auto"/>
        <w:ind w:left="0" w:firstLine="636" w:firstLineChars="200"/>
        <w:jc w:val="both"/>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strike w:val="0"/>
          <w:dstrike w:val="0"/>
          <w:color w:val="auto"/>
          <w:sz w:val="32"/>
          <w:szCs w:val="32"/>
          <w:lang w:val="en-US" w:eastAsia="zh-CN"/>
        </w:rPr>
        <w:t>二</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lang w:eastAsia="zh-CN"/>
        </w:rPr>
        <w:t>在深圳市坪山区-汕头市龙湖区“百千万工程”产业合作园区（即龙湖现代产业园，以下简称：合作园区）</w:t>
      </w:r>
      <w:r>
        <w:rPr>
          <w:rFonts w:hint="eastAsia" w:ascii="Times New Roman" w:hAnsi="Times New Roman" w:eastAsia="仿宋_GB2312" w:cs="Times New Roman"/>
          <w:color w:val="auto"/>
          <w:sz w:val="32"/>
          <w:szCs w:val="32"/>
          <w:lang w:eastAsia="zh-CN"/>
        </w:rPr>
        <w:t>范围内</w:t>
      </w:r>
      <w:r>
        <w:rPr>
          <w:rFonts w:ascii="Times New Roman" w:hAnsi="Times New Roman" w:eastAsia="仿宋_GB2312" w:cs="Times New Roman"/>
          <w:color w:val="auto"/>
          <w:sz w:val="32"/>
          <w:szCs w:val="32"/>
          <w:lang w:eastAsia="zh-CN"/>
        </w:rPr>
        <w:t>开展实际经营</w:t>
      </w:r>
      <w:r>
        <w:rPr>
          <w:rFonts w:hint="eastAsia" w:ascii="Times New Roman" w:hAnsi="Times New Roman" w:eastAsia="仿宋_GB2312" w:cs="Times New Roman"/>
          <w:color w:val="auto"/>
          <w:sz w:val="32"/>
          <w:szCs w:val="32"/>
          <w:lang w:eastAsia="zh-CN"/>
        </w:rPr>
        <w:t>的制造业企业</w:t>
      </w:r>
      <w:r>
        <w:rPr>
          <w:rFonts w:ascii="Times New Roman" w:hAnsi="Times New Roman" w:eastAsia="仿宋_GB2312" w:cs="Times New Roman"/>
          <w:color w:val="auto"/>
          <w:sz w:val="32"/>
          <w:szCs w:val="32"/>
          <w:lang w:eastAsia="zh-CN"/>
        </w:rPr>
        <w:t>年度产值首次达到下述标准，</w:t>
      </w:r>
      <w:r>
        <w:rPr>
          <w:rFonts w:ascii="Times New Roman" w:hAnsi="Times New Roman" w:eastAsia="仿宋_GB2312" w:cs="Times New Roman"/>
          <w:color w:val="auto"/>
          <w:sz w:val="32"/>
          <w:szCs w:val="32"/>
        </w:rPr>
        <w:t>分层次</w:t>
      </w:r>
      <w:r>
        <w:rPr>
          <w:rFonts w:ascii="Times New Roman" w:hAnsi="Times New Roman" w:eastAsia="仿宋_GB2312" w:cs="Times New Roman"/>
          <w:color w:val="auto"/>
          <w:sz w:val="32"/>
          <w:szCs w:val="32"/>
          <w:lang w:eastAsia="zh-CN"/>
        </w:rPr>
        <w:t>予以</w:t>
      </w:r>
      <w:r>
        <w:rPr>
          <w:rFonts w:ascii="Times New Roman" w:hAnsi="Times New Roman" w:eastAsia="仿宋_GB2312" w:cs="Times New Roman"/>
          <w:color w:val="auto"/>
          <w:sz w:val="32"/>
          <w:szCs w:val="32"/>
        </w:rPr>
        <w:t>奖励</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对获得奖励后</w:t>
      </w:r>
      <w:r>
        <w:rPr>
          <w:rFonts w:hint="eastAsia" w:ascii="Times New Roman" w:hAnsi="Times New Roman" w:eastAsia="仿宋_GB2312" w:cs="Times New Roman"/>
          <w:color w:val="auto"/>
          <w:sz w:val="32"/>
          <w:szCs w:val="32"/>
          <w:lang w:eastAsia="zh-CN"/>
        </w:rPr>
        <w:t>年度</w:t>
      </w:r>
      <w:r>
        <w:rPr>
          <w:rFonts w:ascii="Times New Roman" w:hAnsi="Times New Roman" w:eastAsia="仿宋_GB2312" w:cs="Times New Roman"/>
          <w:color w:val="auto"/>
          <w:sz w:val="32"/>
          <w:szCs w:val="32"/>
        </w:rPr>
        <w:t>产值达到更高标准的，按相应标准追加差额奖励：</w:t>
      </w:r>
    </w:p>
    <w:p w14:paraId="237D0758">
      <w:pPr>
        <w:pStyle w:val="2"/>
        <w:keepNext w:val="0"/>
        <w:keepLines w:val="0"/>
        <w:pageBreakBefore w:val="0"/>
        <w:kinsoku/>
        <w:wordWrap/>
        <w:overflowPunct/>
        <w:topLinePunct w:val="0"/>
        <w:autoSpaceDE w:val="0"/>
        <w:autoSpaceDN w:val="0"/>
        <w:bidi w:val="0"/>
        <w:adjustRightInd w:val="0"/>
        <w:snapToGrid/>
        <w:spacing w:line="240" w:lineRule="auto"/>
        <w:ind w:firstLine="636" w:firstLineChars="200"/>
        <w:textAlignment w:val="auto"/>
        <w:rPr>
          <w:rFonts w:ascii="Times New Roman" w:hAnsi="Times New Roman" w:cs="Times New Roman"/>
          <w:color w:val="auto"/>
          <w:sz w:val="32"/>
          <w:szCs w:val="32"/>
          <w:lang w:val="en-US" w:eastAsia="zh-CN"/>
        </w:rPr>
      </w:pPr>
      <w:r>
        <w:rPr>
          <w:rFonts w:ascii="Times New Roman" w:hAnsi="Times New Roman" w:cs="Times New Roman"/>
          <w:color w:val="auto"/>
          <w:sz w:val="32"/>
          <w:szCs w:val="32"/>
          <w:lang w:val="en-US" w:eastAsia="zh-CN"/>
        </w:rPr>
        <w:t>（一）达到1亿元的企业，予以奖励5万元。</w:t>
      </w:r>
    </w:p>
    <w:p w14:paraId="43E3119C">
      <w:pPr>
        <w:pStyle w:val="2"/>
        <w:keepNext w:val="0"/>
        <w:keepLines w:val="0"/>
        <w:pageBreakBefore w:val="0"/>
        <w:kinsoku/>
        <w:wordWrap/>
        <w:overflowPunct/>
        <w:topLinePunct w:val="0"/>
        <w:autoSpaceDE w:val="0"/>
        <w:autoSpaceDN w:val="0"/>
        <w:bidi w:val="0"/>
        <w:adjustRightInd w:val="0"/>
        <w:snapToGrid/>
        <w:spacing w:line="240" w:lineRule="auto"/>
        <w:ind w:firstLine="636" w:firstLineChars="200"/>
        <w:textAlignment w:val="auto"/>
        <w:rPr>
          <w:rFonts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二</w:t>
      </w:r>
      <w:r>
        <w:rPr>
          <w:rFonts w:hint="eastAsia" w:ascii="Times New Roman" w:hAnsi="Times New Roman" w:cs="Times New Roman"/>
          <w:color w:val="auto"/>
          <w:sz w:val="32"/>
          <w:szCs w:val="32"/>
          <w:lang w:eastAsia="zh-CN"/>
        </w:rPr>
        <w:t>）</w:t>
      </w:r>
      <w:r>
        <w:rPr>
          <w:rFonts w:ascii="Times New Roman" w:hAnsi="Times New Roman" w:eastAsia="仿宋_GB2312" w:cs="Times New Roman"/>
          <w:color w:val="auto"/>
          <w:sz w:val="32"/>
          <w:szCs w:val="32"/>
        </w:rPr>
        <w:t>达到</w:t>
      </w:r>
      <w:r>
        <w:rPr>
          <w:rFonts w:ascii="Times New Roman" w:hAnsi="Times New Roman" w:cs="Times New Roman"/>
          <w:color w:val="auto"/>
          <w:sz w:val="32"/>
          <w:szCs w:val="32"/>
        </w:rPr>
        <w:t>2</w:t>
      </w:r>
      <w:r>
        <w:rPr>
          <w:rFonts w:ascii="Times New Roman" w:hAnsi="Times New Roman" w:eastAsia="仿宋_GB2312" w:cs="Times New Roman"/>
          <w:color w:val="auto"/>
          <w:sz w:val="32"/>
          <w:szCs w:val="32"/>
        </w:rPr>
        <w:t>亿元的企业，予以奖励</w:t>
      </w:r>
      <w:r>
        <w:rPr>
          <w:rFonts w:ascii="Times New Roman" w:hAnsi="Times New Roman" w:cs="Times New Roman"/>
          <w:color w:val="auto"/>
          <w:sz w:val="32"/>
          <w:szCs w:val="32"/>
          <w:lang w:eastAsia="zh-CN"/>
        </w:rPr>
        <w:t>10</w:t>
      </w:r>
      <w:r>
        <w:rPr>
          <w:rFonts w:ascii="Times New Roman" w:hAnsi="Times New Roman" w:eastAsia="仿宋_GB2312" w:cs="Times New Roman"/>
          <w:color w:val="auto"/>
          <w:sz w:val="32"/>
          <w:szCs w:val="32"/>
        </w:rPr>
        <w:t>万元。</w:t>
      </w:r>
    </w:p>
    <w:p w14:paraId="2A519FC1">
      <w:pPr>
        <w:keepNext w:val="0"/>
        <w:keepLines w:val="0"/>
        <w:pageBreakBefore w:val="0"/>
        <w:widowControl w:val="0"/>
        <w:kinsoku/>
        <w:wordWrap/>
        <w:overflowPunct/>
        <w:topLinePunct w:val="0"/>
        <w:autoSpaceDE/>
        <w:autoSpaceDN/>
        <w:bidi w:val="0"/>
        <w:adjustRightInd/>
        <w:snapToGrid/>
        <w:spacing w:line="240" w:lineRule="auto"/>
        <w:ind w:left="0" w:firstLine="636"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三</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达到</w:t>
      </w:r>
      <w:r>
        <w:rPr>
          <w:rFonts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亿元的企业，予以奖励</w:t>
      </w:r>
      <w:r>
        <w:rPr>
          <w:rFonts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万元。</w:t>
      </w:r>
    </w:p>
    <w:p w14:paraId="794FDB99">
      <w:pPr>
        <w:keepNext w:val="0"/>
        <w:keepLines w:val="0"/>
        <w:pageBreakBefore w:val="0"/>
        <w:widowControl w:val="0"/>
        <w:kinsoku/>
        <w:wordWrap/>
        <w:overflowPunct/>
        <w:topLinePunct w:val="0"/>
        <w:autoSpaceDE/>
        <w:autoSpaceDN/>
        <w:bidi w:val="0"/>
        <w:adjustRightInd/>
        <w:snapToGrid/>
        <w:spacing w:line="240" w:lineRule="auto"/>
        <w:ind w:left="0" w:firstLine="636"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四</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达到</w:t>
      </w:r>
      <w:r>
        <w:rPr>
          <w:rFonts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亿元的企业，予以奖励</w:t>
      </w:r>
      <w:r>
        <w:rPr>
          <w:rFonts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万元。</w:t>
      </w:r>
    </w:p>
    <w:p w14:paraId="5692E940">
      <w:pPr>
        <w:keepNext w:val="0"/>
        <w:keepLines w:val="0"/>
        <w:pageBreakBefore w:val="0"/>
        <w:widowControl w:val="0"/>
        <w:kinsoku/>
        <w:wordWrap/>
        <w:overflowPunct/>
        <w:topLinePunct w:val="0"/>
        <w:autoSpaceDE/>
        <w:autoSpaceDN/>
        <w:bidi w:val="0"/>
        <w:adjustRightInd/>
        <w:snapToGrid/>
        <w:spacing w:line="240" w:lineRule="auto"/>
        <w:ind w:left="0" w:firstLine="636"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达到</w:t>
      </w:r>
      <w:r>
        <w:rPr>
          <w:rFonts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亿元的企业，予以奖励</w:t>
      </w:r>
      <w:r>
        <w:rPr>
          <w:rFonts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万元。</w:t>
      </w:r>
    </w:p>
    <w:p w14:paraId="602992CF">
      <w:pPr>
        <w:keepNext w:val="0"/>
        <w:keepLines w:val="0"/>
        <w:pageBreakBefore w:val="0"/>
        <w:widowControl w:val="0"/>
        <w:kinsoku/>
        <w:wordWrap/>
        <w:overflowPunct/>
        <w:topLinePunct w:val="0"/>
        <w:autoSpaceDE/>
        <w:autoSpaceDN/>
        <w:bidi w:val="0"/>
        <w:adjustRightInd/>
        <w:snapToGrid/>
        <w:spacing w:line="240" w:lineRule="auto"/>
        <w:ind w:left="0" w:firstLine="636"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（龙湖区工业园区管理办公室负责）</w:t>
      </w:r>
    </w:p>
    <w:p w14:paraId="7297F0DD">
      <w:pPr>
        <w:keepNext w:val="0"/>
        <w:keepLines w:val="0"/>
        <w:pageBreakBefore w:val="0"/>
        <w:widowControl/>
        <w:kinsoku/>
        <w:wordWrap/>
        <w:overflowPunct/>
        <w:topLinePunct w:val="0"/>
        <w:autoSpaceDE/>
        <w:autoSpaceDN/>
        <w:bidi w:val="0"/>
        <w:adjustRightInd/>
        <w:snapToGrid/>
        <w:spacing w:line="240" w:lineRule="auto"/>
        <w:ind w:left="0" w:firstLine="636" w:firstLineChars="200"/>
        <w:jc w:val="both"/>
        <w:textAlignment w:val="auto"/>
        <w:rPr>
          <w:rFonts w:ascii="Times New Roman" w:hAnsi="Times New Roman" w:eastAsia="黑体" w:cs="Times New Roman"/>
          <w:sz w:val="32"/>
          <w:szCs w:val="32"/>
          <w:lang w:val="en-US" w:eastAsia="zh-CN"/>
        </w:rPr>
      </w:pPr>
      <w:r>
        <w:rPr>
          <w:rFonts w:ascii="Times New Roman" w:hAnsi="Times New Roman" w:eastAsia="黑体" w:cs="Times New Roman"/>
          <w:color w:val="auto"/>
          <w:sz w:val="32"/>
          <w:szCs w:val="32"/>
        </w:rPr>
        <w:t>第</w:t>
      </w:r>
      <w:r>
        <w:rPr>
          <w:rFonts w:hint="eastAsia" w:ascii="Times New Roman" w:hAnsi="Times New Roman" w:eastAsia="黑体" w:cs="Times New Roman"/>
          <w:strike w:val="0"/>
          <w:dstrike w:val="0"/>
          <w:color w:val="auto"/>
          <w:sz w:val="32"/>
          <w:szCs w:val="32"/>
          <w:lang w:eastAsia="zh-CN"/>
        </w:rPr>
        <w:t>三</w:t>
      </w:r>
      <w:r>
        <w:rPr>
          <w:rFonts w:ascii="Times New Roman" w:hAnsi="Times New Roman" w:eastAsia="黑体" w:cs="Times New Roman"/>
          <w:color w:val="auto"/>
          <w:sz w:val="32"/>
          <w:szCs w:val="32"/>
        </w:rPr>
        <w:t>条</w:t>
      </w:r>
      <w:r>
        <w:rPr>
          <w:rFonts w:ascii="Times New Roman" w:hAnsi="Times New Roman" w:eastAsia="仿宋_GB2312" w:cs="Times New Roman"/>
          <w:b w:val="0"/>
          <w:bCs w:val="0"/>
          <w:color w:val="auto"/>
          <w:sz w:val="32"/>
          <w:szCs w:val="32"/>
          <w:lang w:val="en-US" w:eastAsia="zh-CN"/>
        </w:rPr>
        <w:t xml:space="preserve"> 合作园区</w:t>
      </w:r>
      <w:r>
        <w:rPr>
          <w:rFonts w:hint="eastAsia" w:ascii="Times New Roman" w:hAnsi="Times New Roman" w:eastAsia="仿宋_GB2312" w:cs="Times New Roman"/>
          <w:b w:val="0"/>
          <w:bCs w:val="0"/>
          <w:color w:val="auto"/>
          <w:sz w:val="32"/>
          <w:szCs w:val="32"/>
          <w:lang w:val="en-US" w:eastAsia="zh-CN"/>
        </w:rPr>
        <w:t>范围内</w:t>
      </w:r>
      <w:r>
        <w:rPr>
          <w:rFonts w:ascii="Times New Roman" w:hAnsi="Times New Roman" w:eastAsia="仿宋_GB2312" w:cs="Times New Roman"/>
          <w:b w:val="0"/>
          <w:bCs w:val="0"/>
          <w:color w:val="auto"/>
          <w:sz w:val="32"/>
          <w:szCs w:val="32"/>
          <w:lang w:val="en-US" w:eastAsia="zh-CN"/>
        </w:rPr>
        <w:t>项目自</w:t>
      </w:r>
      <w:r>
        <w:rPr>
          <w:rFonts w:ascii="Times New Roman" w:hAnsi="Times New Roman" w:eastAsia="仿宋_GB2312" w:cs="Times New Roman"/>
          <w:color w:val="auto"/>
          <w:sz w:val="32"/>
          <w:szCs w:val="32"/>
        </w:rPr>
        <w:t>开工</w:t>
      </w:r>
      <w:r>
        <w:rPr>
          <w:rFonts w:ascii="Times New Roman" w:hAnsi="Times New Roman" w:eastAsia="仿宋_GB2312" w:cs="Times New Roman"/>
          <w:color w:val="auto"/>
          <w:sz w:val="32"/>
          <w:szCs w:val="32"/>
          <w:lang w:eastAsia="zh-CN"/>
        </w:rPr>
        <w:t>之日</w:t>
      </w:r>
      <w:r>
        <w:rPr>
          <w:rFonts w:hint="eastAsia" w:ascii="Times New Roman" w:hAnsi="Times New Roman" w:eastAsia="仿宋_GB2312" w:cs="Times New Roman"/>
          <w:color w:val="auto"/>
          <w:sz w:val="32"/>
          <w:szCs w:val="32"/>
          <w:lang w:eastAsia="zh-CN"/>
        </w:rPr>
        <w:t>（取得施工许可证之日）</w:t>
      </w:r>
      <w:r>
        <w:rPr>
          <w:rFonts w:ascii="Times New Roman" w:hAnsi="Times New Roman" w:eastAsia="仿宋_GB2312" w:cs="Times New Roman"/>
          <w:color w:val="auto"/>
          <w:sz w:val="32"/>
          <w:szCs w:val="32"/>
          <w:lang w:eastAsia="zh-CN"/>
        </w:rPr>
        <w:t>起</w:t>
      </w:r>
      <w:r>
        <w:rPr>
          <w:rFonts w:hint="eastAsia" w:ascii="Times New Roman" w:hAnsi="Times New Roman" w:eastAsia="仿宋_GB2312" w:cs="Times New Roman"/>
          <w:b w:val="0"/>
          <w:bCs w:val="0"/>
          <w:color w:val="auto"/>
          <w:sz w:val="32"/>
          <w:szCs w:val="32"/>
          <w:lang w:val="en-US" w:eastAsia="zh-CN"/>
        </w:rPr>
        <w:t>12</w:t>
      </w:r>
      <w:r>
        <w:rPr>
          <w:rFonts w:ascii="Times New Roman" w:hAnsi="Times New Roman" w:eastAsia="仿宋_GB2312" w:cs="Times New Roman"/>
          <w:b w:val="0"/>
          <w:bCs w:val="0"/>
          <w:color w:val="auto"/>
          <w:sz w:val="32"/>
          <w:szCs w:val="32"/>
          <w:lang w:eastAsia="zh-CN"/>
        </w:rPr>
        <w:t>个月</w:t>
      </w:r>
      <w:r>
        <w:rPr>
          <w:rFonts w:ascii="Times New Roman" w:hAnsi="Times New Roman" w:eastAsia="仿宋_GB2312" w:cs="Times New Roman"/>
          <w:b w:val="0"/>
          <w:bCs w:val="0"/>
          <w:color w:val="auto"/>
          <w:sz w:val="32"/>
          <w:szCs w:val="32"/>
          <w:lang w:val="en-US" w:eastAsia="zh-CN"/>
        </w:rPr>
        <w:t>内完成园区</w:t>
      </w:r>
      <w:r>
        <w:rPr>
          <w:rFonts w:ascii="Times New Roman" w:hAnsi="Times New Roman" w:eastAsia="仿宋_GB2312" w:cs="Times New Roman"/>
          <w:color w:val="auto"/>
          <w:sz w:val="32"/>
          <w:szCs w:val="32"/>
        </w:rPr>
        <w:t>固定资产投资额</w:t>
      </w:r>
      <w:r>
        <w:rPr>
          <w:rFonts w:ascii="Times New Roman" w:hAnsi="Times New Roman" w:eastAsia="仿宋_GB2312" w:cs="Times New Roman"/>
          <w:color w:val="auto"/>
          <w:sz w:val="32"/>
          <w:szCs w:val="32"/>
          <w:lang w:eastAsia="zh-CN"/>
        </w:rPr>
        <w:t>（不含土地款）</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000万元</w:t>
      </w:r>
      <w:r>
        <w:rPr>
          <w:rFonts w:ascii="Times New Roman" w:hAnsi="Times New Roman" w:eastAsia="仿宋_GB2312" w:cs="Times New Roman"/>
          <w:color w:val="auto"/>
          <w:sz w:val="32"/>
          <w:szCs w:val="32"/>
          <w:lang w:val="en-US" w:eastAsia="zh-CN"/>
        </w:rPr>
        <w:t>以上，</w:t>
      </w:r>
      <w:r>
        <w:rPr>
          <w:rFonts w:ascii="Times New Roman" w:hAnsi="Times New Roman" w:eastAsia="仿宋_GB2312" w:cs="Times New Roman"/>
          <w:color w:val="auto"/>
          <w:sz w:val="32"/>
          <w:szCs w:val="32"/>
        </w:rPr>
        <w:t>按照</w:t>
      </w:r>
      <w:r>
        <w:rPr>
          <w:rFonts w:ascii="Times New Roman" w:hAnsi="Times New Roman" w:eastAsia="仿宋_GB2312" w:cs="Times New Roman"/>
          <w:i w:val="0"/>
          <w:caps w:val="0"/>
          <w:smallCaps w:val="0"/>
          <w:color w:val="auto"/>
          <w:spacing w:val="0"/>
          <w:kern w:val="2"/>
          <w:sz w:val="32"/>
          <w:szCs w:val="32"/>
          <w:shd w:val="clear" w:color="auto" w:fill="auto"/>
          <w:lang w:val="en-US" w:eastAsia="zh-CN"/>
        </w:rPr>
        <w:t>实际固定资产投资额</w:t>
      </w:r>
      <w:r>
        <w:rPr>
          <w:rFonts w:ascii="Times New Roman" w:hAnsi="Times New Roman" w:eastAsia="仿宋_GB2312" w:cs="Times New Roman"/>
          <w:color w:val="auto"/>
          <w:sz w:val="32"/>
          <w:szCs w:val="32"/>
          <w:lang w:eastAsia="zh-CN"/>
        </w:rPr>
        <w:t>（不含土地款）</w:t>
      </w:r>
      <w:r>
        <w:rPr>
          <w:rFonts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‰予以奖励，</w:t>
      </w:r>
      <w:r>
        <w:rPr>
          <w:rFonts w:ascii="Times New Roman" w:hAnsi="Times New Roman" w:eastAsia="仿宋_GB2312" w:cs="Times New Roman"/>
          <w:color w:val="auto"/>
          <w:sz w:val="32"/>
          <w:szCs w:val="32"/>
          <w:lang w:val="en-US" w:eastAsia="zh-CN"/>
        </w:rPr>
        <w:t>单个企业每年奖励</w:t>
      </w:r>
      <w:r>
        <w:rPr>
          <w:rFonts w:hint="eastAsia" w:ascii="Times New Roman" w:hAnsi="Times New Roman" w:eastAsia="仿宋_GB2312" w:cs="Times New Roman"/>
          <w:color w:val="auto"/>
          <w:sz w:val="32"/>
          <w:szCs w:val="32"/>
          <w:lang w:val="en-US" w:eastAsia="zh-CN"/>
        </w:rPr>
        <w:t>金额不超过100</w:t>
      </w:r>
      <w:r>
        <w:rPr>
          <w:rFonts w:ascii="Times New Roman" w:hAnsi="Times New Roman" w:eastAsia="仿宋_GB2312" w:cs="Times New Roman"/>
          <w:color w:val="auto"/>
          <w:sz w:val="32"/>
          <w:szCs w:val="32"/>
          <w:lang w:val="en-US" w:eastAsia="zh-CN"/>
        </w:rPr>
        <w:t>万元</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eastAsia="zh-CN"/>
        </w:rPr>
        <w:t>（龙湖区发展和改革局负责）</w:t>
      </w:r>
    </w:p>
    <w:p w14:paraId="46406500">
      <w:pPr>
        <w:pStyle w:val="2"/>
        <w:keepNext w:val="0"/>
        <w:keepLines w:val="0"/>
        <w:pageBreakBefore w:val="0"/>
        <w:kinsoku/>
        <w:wordWrap/>
        <w:overflowPunct/>
        <w:topLinePunct w:val="0"/>
        <w:autoSpaceDE w:val="0"/>
        <w:autoSpaceDN w:val="0"/>
        <w:bidi w:val="0"/>
        <w:adjustRightInd w:val="0"/>
        <w:snapToGrid/>
        <w:spacing w:line="240" w:lineRule="auto"/>
        <w:ind w:firstLine="636"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strike w:val="0"/>
          <w:dstrike w:val="0"/>
          <w:color w:val="auto"/>
          <w:sz w:val="32"/>
          <w:szCs w:val="32"/>
          <w:lang w:eastAsia="zh-CN"/>
        </w:rPr>
        <w:t>四</w:t>
      </w:r>
      <w:r>
        <w:rPr>
          <w:rFonts w:ascii="Times New Roman" w:hAnsi="Times New Roman" w:eastAsia="黑体" w:cs="Times New Roman"/>
          <w:color w:val="auto"/>
          <w:sz w:val="32"/>
          <w:szCs w:val="32"/>
        </w:rPr>
        <w:t>条</w:t>
      </w:r>
      <w:r>
        <w:rPr>
          <w:rFonts w:ascii="Times New Roman" w:hAnsi="Times New Roman" w:eastAsia="宋体"/>
          <w:color w:val="auto"/>
          <w:sz w:val="32"/>
          <w:szCs w:val="32"/>
        </w:rPr>
        <w:t xml:space="preserve"> </w:t>
      </w:r>
      <w:r>
        <w:rPr>
          <w:rFonts w:ascii="Times New Roman" w:hAnsi="Times New Roman" w:eastAsia="仿宋_GB2312" w:cs="Times New Roman"/>
          <w:color w:val="auto"/>
          <w:sz w:val="32"/>
          <w:szCs w:val="32"/>
          <w:lang w:val="en-US" w:eastAsia="zh-CN"/>
        </w:rPr>
        <w:t>龙湖区法律服务机构面向合作园区纳统企业提供普法、商事调解、人民调解或“法治体检”等公益法律服务。对上年度帮助</w:t>
      </w:r>
      <w:r>
        <w:rPr>
          <w:rFonts w:hint="eastAsia" w:ascii="Times New Roman" w:hAnsi="Times New Roman" w:cs="Times New Roman"/>
          <w:color w:val="auto"/>
          <w:sz w:val="32"/>
          <w:szCs w:val="32"/>
          <w:lang w:val="en-US" w:eastAsia="zh-CN"/>
        </w:rPr>
        <w:t>园区</w:t>
      </w:r>
      <w:r>
        <w:rPr>
          <w:rFonts w:ascii="Times New Roman" w:hAnsi="Times New Roman" w:eastAsia="仿宋_GB2312" w:cs="Times New Roman"/>
          <w:color w:val="auto"/>
          <w:sz w:val="32"/>
          <w:szCs w:val="32"/>
          <w:lang w:val="en-US" w:eastAsia="zh-CN"/>
        </w:rPr>
        <w:t>企业化解矛盾纠纷、挽回损失或者获得重大利益累计500万元以上的，</w:t>
      </w:r>
      <w:r>
        <w:rPr>
          <w:rFonts w:ascii="Times New Roman" w:hAnsi="Times New Roman" w:cs="Times New Roman"/>
          <w:color w:val="auto"/>
          <w:sz w:val="32"/>
          <w:szCs w:val="32"/>
        </w:rPr>
        <w:t>经</w:t>
      </w:r>
      <w:r>
        <w:rPr>
          <w:rFonts w:ascii="Times New Roman" w:hAnsi="Times New Roman" w:cs="Times New Roman"/>
          <w:color w:val="auto"/>
          <w:sz w:val="32"/>
          <w:szCs w:val="32"/>
          <w:lang w:eastAsia="zh-CN"/>
        </w:rPr>
        <w:t>龙湖</w:t>
      </w:r>
      <w:r>
        <w:rPr>
          <w:rFonts w:ascii="Times New Roman" w:hAnsi="Times New Roman" w:cs="Times New Roman"/>
          <w:color w:val="auto"/>
          <w:sz w:val="32"/>
          <w:szCs w:val="32"/>
        </w:rPr>
        <w:t>区司法局备案，</w:t>
      </w:r>
      <w:r>
        <w:rPr>
          <w:rFonts w:ascii="Times New Roman" w:hAnsi="Times New Roman" w:cs="Times New Roman"/>
          <w:color w:val="auto"/>
          <w:sz w:val="32"/>
          <w:szCs w:val="32"/>
          <w:lang w:eastAsia="zh-CN"/>
        </w:rPr>
        <w:t>予以</w:t>
      </w:r>
      <w:r>
        <w:rPr>
          <w:rFonts w:ascii="Times New Roman" w:hAnsi="Times New Roman" w:cs="Times New Roman"/>
          <w:color w:val="auto"/>
          <w:sz w:val="32"/>
          <w:szCs w:val="32"/>
        </w:rPr>
        <w:t>奖励5万元</w:t>
      </w:r>
      <w:r>
        <w:rPr>
          <w:rFonts w:ascii="Times New Roman" w:hAnsi="Times New Roman" w:eastAsia="仿宋_GB2312" w:cs="Times New Roman"/>
          <w:color w:val="auto"/>
          <w:sz w:val="32"/>
          <w:szCs w:val="32"/>
          <w:lang w:val="en-US" w:eastAsia="zh-CN"/>
        </w:rPr>
        <w:t>。</w:t>
      </w:r>
      <w:r>
        <w:rPr>
          <w:rFonts w:ascii="Times New Roman" w:hAnsi="Times New Roman" w:cs="Times New Roman"/>
          <w:color w:val="auto"/>
          <w:sz w:val="32"/>
          <w:szCs w:val="32"/>
          <w:lang w:val="en-US" w:eastAsia="zh-CN"/>
        </w:rPr>
        <w:t>（龙湖区司法局负责）</w:t>
      </w:r>
    </w:p>
    <w:p w14:paraId="3C47D1AC">
      <w:pPr>
        <w:pStyle w:val="2"/>
        <w:keepNext w:val="0"/>
        <w:keepLines w:val="0"/>
        <w:pageBreakBefore w:val="0"/>
        <w:widowControl w:val="0"/>
        <w:kinsoku/>
        <w:wordWrap/>
        <w:overflowPunct/>
        <w:topLinePunct w:val="0"/>
        <w:autoSpaceDE w:val="0"/>
        <w:autoSpaceDN w:val="0"/>
        <w:bidi w:val="0"/>
        <w:adjustRightInd w:val="0"/>
        <w:snapToGrid/>
        <w:spacing w:line="240" w:lineRule="auto"/>
        <w:ind w:left="0" w:firstLine="636" w:firstLineChars="200"/>
        <w:textAlignment w:val="auto"/>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lang w:val="en-US" w:eastAsia="zh-CN"/>
        </w:rPr>
        <w:t>第</w:t>
      </w:r>
      <w:r>
        <w:rPr>
          <w:rFonts w:hint="eastAsia" w:ascii="Times New Roman" w:hAnsi="Times New Roman" w:eastAsia="黑体" w:cs="Times New Roman"/>
          <w:strike w:val="0"/>
          <w:dstrike w:val="0"/>
          <w:color w:val="auto"/>
          <w:sz w:val="32"/>
          <w:szCs w:val="32"/>
          <w:lang w:val="en-US" w:eastAsia="zh-CN"/>
        </w:rPr>
        <w:t>五</w:t>
      </w:r>
      <w:r>
        <w:rPr>
          <w:rFonts w:ascii="Times New Roman" w:hAnsi="Times New Roman" w:eastAsia="黑体" w:cs="Times New Roman"/>
          <w:color w:val="auto"/>
          <w:sz w:val="32"/>
          <w:szCs w:val="32"/>
          <w:lang w:val="en-US" w:eastAsia="zh-CN"/>
        </w:rPr>
        <w:t xml:space="preserve">条 </w:t>
      </w:r>
      <w:r>
        <w:rPr>
          <w:rFonts w:ascii="Times New Roman" w:hAnsi="Times New Roman" w:eastAsia="仿宋_GB2312" w:cs="Times New Roman"/>
          <w:color w:val="auto"/>
          <w:sz w:val="32"/>
          <w:szCs w:val="32"/>
          <w:lang w:val="en-US" w:eastAsia="zh-CN"/>
        </w:rPr>
        <w:t>实际采购龙湖区内</w:t>
      </w:r>
      <w:r>
        <w:rPr>
          <w:rFonts w:ascii="Times New Roman" w:hAnsi="Times New Roman" w:eastAsia="仿宋_GB2312" w:cs="Times New Roman"/>
          <w:i w:val="0"/>
          <w:caps w:val="0"/>
          <w:smallCaps w:val="0"/>
          <w:color w:val="auto"/>
          <w:spacing w:val="0"/>
          <w:kern w:val="2"/>
          <w:sz w:val="32"/>
          <w:szCs w:val="32"/>
          <w:lang w:val="en-US" w:eastAsia="zh-CN"/>
        </w:rPr>
        <w:t>规模以上制造业</w:t>
      </w:r>
      <w:r>
        <w:rPr>
          <w:rFonts w:ascii="Times New Roman" w:hAnsi="Times New Roman" w:eastAsia="仿宋_GB2312" w:cs="Times New Roman"/>
          <w:color w:val="auto"/>
          <w:sz w:val="32"/>
          <w:szCs w:val="32"/>
          <w:lang w:val="en-US" w:eastAsia="zh-CN"/>
        </w:rPr>
        <w:t>企业产品金额</w:t>
      </w:r>
      <w:r>
        <w:rPr>
          <w:rFonts w:ascii="Times New Roman" w:hAnsi="Times New Roman" w:cs="Times New Roman"/>
          <w:color w:val="auto"/>
          <w:sz w:val="32"/>
          <w:szCs w:val="32"/>
          <w:lang w:val="en-US" w:eastAsia="zh-CN"/>
        </w:rPr>
        <w:t>10</w:t>
      </w:r>
      <w:r>
        <w:rPr>
          <w:rFonts w:ascii="Times New Roman" w:hAnsi="Times New Roman" w:eastAsia="仿宋_GB2312" w:cs="Times New Roman"/>
          <w:color w:val="auto"/>
          <w:sz w:val="32"/>
          <w:szCs w:val="32"/>
          <w:lang w:val="en-US" w:eastAsia="zh-CN"/>
        </w:rPr>
        <w:t>00万元以上</w:t>
      </w:r>
      <w:r>
        <w:rPr>
          <w:rFonts w:hint="eastAsia" w:ascii="Times New Roman" w:hAnsi="Times New Roman" w:cs="Times New Roman"/>
          <w:color w:val="auto"/>
          <w:sz w:val="32"/>
          <w:szCs w:val="32"/>
          <w:lang w:val="en-US" w:eastAsia="zh-CN"/>
        </w:rPr>
        <w:t>、</w:t>
      </w:r>
      <w:r>
        <w:rPr>
          <w:rFonts w:ascii="Times New Roman" w:hAnsi="Times New Roman" w:eastAsia="仿宋_GB2312" w:cs="Times New Roman"/>
          <w:i w:val="0"/>
          <w:caps w:val="0"/>
          <w:smallCaps w:val="0"/>
          <w:color w:val="auto"/>
          <w:spacing w:val="0"/>
          <w:kern w:val="2"/>
          <w:sz w:val="32"/>
          <w:szCs w:val="32"/>
          <w:lang w:val="en-US" w:eastAsia="zh-CN"/>
        </w:rPr>
        <w:t>实现两地企业产业链协作</w:t>
      </w:r>
      <w:r>
        <w:rPr>
          <w:rFonts w:ascii="Times New Roman" w:hAnsi="Times New Roman" w:eastAsia="仿宋_GB2312" w:cs="Times New Roman"/>
          <w:color w:val="auto"/>
          <w:sz w:val="32"/>
          <w:szCs w:val="32"/>
          <w:lang w:val="en-US" w:eastAsia="zh-CN"/>
        </w:rPr>
        <w:t>的</w:t>
      </w:r>
      <w:r>
        <w:rPr>
          <w:rFonts w:hint="eastAsia" w:ascii="Times New Roman" w:hAnsi="Times New Roman" w:cs="Times New Roman"/>
          <w:color w:val="auto"/>
          <w:sz w:val="32"/>
          <w:szCs w:val="32"/>
          <w:lang w:val="en-US" w:eastAsia="zh-CN"/>
        </w:rPr>
        <w:t>坪山区</w:t>
      </w:r>
      <w:r>
        <w:rPr>
          <w:rFonts w:ascii="Times New Roman" w:hAnsi="Times New Roman" w:eastAsia="仿宋_GB2312" w:cs="Times New Roman"/>
          <w:color w:val="auto"/>
          <w:sz w:val="32"/>
          <w:szCs w:val="32"/>
          <w:lang w:val="en-US" w:eastAsia="zh-CN"/>
        </w:rPr>
        <w:t>企业</w:t>
      </w:r>
      <w:r>
        <w:rPr>
          <w:rFonts w:hint="eastAsia" w:ascii="Times New Roman" w:hAnsi="Times New Roman" w:cs="Times New Roman"/>
          <w:color w:val="auto"/>
          <w:sz w:val="32"/>
          <w:szCs w:val="32"/>
          <w:lang w:val="en-US" w:eastAsia="zh-CN"/>
        </w:rPr>
        <w:t>（须为国家级专精特新“小巨人”企业、省级专精特新中小企业，</w:t>
      </w:r>
      <w:r>
        <w:rPr>
          <w:rFonts w:ascii="Times New Roman" w:hAnsi="Times New Roman" w:eastAsia="仿宋_GB2312" w:cs="Times New Roman"/>
          <w:color w:val="auto"/>
          <w:sz w:val="32"/>
          <w:szCs w:val="32"/>
          <w:lang w:val="en-US" w:eastAsia="zh-CN"/>
        </w:rPr>
        <w:t>提前向龙湖区工业和信息化局备案），按年度新增</w:t>
      </w:r>
      <w:r>
        <w:rPr>
          <w:rFonts w:ascii="Times New Roman" w:hAnsi="Times New Roman" w:eastAsia="仿宋_GB2312" w:cs="Times New Roman"/>
          <w:color w:val="auto"/>
          <w:sz w:val="32"/>
          <w:szCs w:val="32"/>
        </w:rPr>
        <w:t>采购</w:t>
      </w:r>
      <w:r>
        <w:rPr>
          <w:rFonts w:ascii="Times New Roman" w:hAnsi="Times New Roman" w:eastAsia="仿宋_GB2312" w:cs="Times New Roman"/>
          <w:i w:val="0"/>
          <w:caps w:val="0"/>
          <w:smallCaps w:val="0"/>
          <w:color w:val="auto"/>
          <w:spacing w:val="0"/>
          <w:kern w:val="2"/>
          <w:sz w:val="32"/>
          <w:szCs w:val="32"/>
          <w:lang w:val="en-US" w:eastAsia="zh-CN"/>
        </w:rPr>
        <w:t>额1%给予</w:t>
      </w:r>
      <w:r>
        <w:rPr>
          <w:rFonts w:ascii="Times New Roman" w:hAnsi="Times New Roman" w:cs="Times New Roman"/>
          <w:i w:val="0"/>
          <w:caps w:val="0"/>
          <w:smallCaps w:val="0"/>
          <w:color w:val="auto"/>
          <w:spacing w:val="0"/>
          <w:kern w:val="2"/>
          <w:sz w:val="32"/>
          <w:szCs w:val="32"/>
          <w:lang w:val="en-US" w:eastAsia="zh-CN"/>
        </w:rPr>
        <w:t>采购方</w:t>
      </w:r>
      <w:r>
        <w:rPr>
          <w:rFonts w:ascii="Times New Roman" w:hAnsi="Times New Roman" w:eastAsia="仿宋_GB2312" w:cs="Times New Roman"/>
          <w:i w:val="0"/>
          <w:caps w:val="0"/>
          <w:smallCaps w:val="0"/>
          <w:color w:val="auto"/>
          <w:spacing w:val="0"/>
          <w:kern w:val="2"/>
          <w:sz w:val="32"/>
          <w:szCs w:val="32"/>
          <w:lang w:val="en-US" w:eastAsia="zh-CN"/>
        </w:rPr>
        <w:t>奖励，单个企业每年奖励</w:t>
      </w:r>
      <w:r>
        <w:rPr>
          <w:rFonts w:hint="eastAsia" w:ascii="Times New Roman" w:hAnsi="Times New Roman" w:cs="Times New Roman"/>
          <w:i w:val="0"/>
          <w:caps w:val="0"/>
          <w:smallCaps w:val="0"/>
          <w:color w:val="auto"/>
          <w:spacing w:val="0"/>
          <w:kern w:val="2"/>
          <w:sz w:val="32"/>
          <w:szCs w:val="32"/>
          <w:lang w:val="en-US" w:eastAsia="zh-CN"/>
        </w:rPr>
        <w:t>金额不超过100</w:t>
      </w:r>
      <w:r>
        <w:rPr>
          <w:rFonts w:ascii="Times New Roman" w:hAnsi="Times New Roman" w:eastAsia="仿宋_GB2312" w:cs="Times New Roman"/>
          <w:i w:val="0"/>
          <w:caps w:val="0"/>
          <w:smallCaps w:val="0"/>
          <w:color w:val="auto"/>
          <w:spacing w:val="0"/>
          <w:kern w:val="2"/>
          <w:sz w:val="32"/>
          <w:szCs w:val="32"/>
          <w:lang w:val="en-US" w:eastAsia="zh-CN"/>
        </w:rPr>
        <w:t>万元。</w:t>
      </w:r>
      <w:r>
        <w:rPr>
          <w:rFonts w:ascii="Times New Roman" w:hAnsi="Times New Roman" w:eastAsia="仿宋_GB2312" w:cs="Times New Roman"/>
          <w:color w:val="auto"/>
          <w:sz w:val="32"/>
          <w:szCs w:val="32"/>
        </w:rPr>
        <w:t>（龙湖区工业和信息化局负责）</w:t>
      </w:r>
    </w:p>
    <w:p w14:paraId="4B5BB4BB">
      <w:pPr>
        <w:pStyle w:val="2"/>
        <w:keepNext w:val="0"/>
        <w:keepLines w:val="0"/>
        <w:pageBreakBefore w:val="0"/>
        <w:widowControl w:val="0"/>
        <w:kinsoku/>
        <w:wordWrap/>
        <w:overflowPunct/>
        <w:topLinePunct w:val="0"/>
        <w:autoSpaceDE w:val="0"/>
        <w:autoSpaceDN w:val="0"/>
        <w:bidi w:val="0"/>
        <w:adjustRightInd w:val="0"/>
        <w:snapToGrid/>
        <w:spacing w:line="240" w:lineRule="auto"/>
        <w:ind w:left="0" w:firstLine="636" w:firstLineChars="200"/>
        <w:textAlignment w:val="auto"/>
        <w:rPr>
          <w:rFonts w:hint="default" w:ascii="Times New Roman" w:hAnsi="Times New Roman" w:cs="Times New Roman"/>
          <w:i w:val="0"/>
          <w:caps w:val="0"/>
          <w:smallCaps w:val="0"/>
          <w:color w:val="auto"/>
          <w:spacing w:val="0"/>
          <w:kern w:val="2"/>
          <w:sz w:val="32"/>
          <w:szCs w:val="32"/>
          <w:lang w:val="en-US" w:eastAsia="zh-CN"/>
        </w:rPr>
      </w:pPr>
      <w:r>
        <w:rPr>
          <w:rFonts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六</w:t>
      </w:r>
      <w:r>
        <w:rPr>
          <w:rFonts w:ascii="Times New Roman" w:hAnsi="Times New Roman" w:eastAsia="黑体" w:cs="Times New Roman"/>
          <w:color w:val="auto"/>
          <w:sz w:val="32"/>
          <w:szCs w:val="32"/>
          <w:lang w:val="en-US" w:eastAsia="zh-CN"/>
        </w:rPr>
        <w:t>条</w:t>
      </w:r>
      <w:r>
        <w:rPr>
          <w:rFonts w:ascii="Times New Roman" w:hAnsi="Times New Roman" w:cs="Times New Roman"/>
          <w:i w:val="0"/>
          <w:caps w:val="0"/>
          <w:smallCaps w:val="0"/>
          <w:color w:val="auto"/>
          <w:spacing w:val="0"/>
          <w:kern w:val="2"/>
          <w:sz w:val="32"/>
          <w:szCs w:val="32"/>
          <w:lang w:val="en-US" w:eastAsia="zh-CN"/>
        </w:rPr>
        <w:t xml:space="preserve"> </w:t>
      </w:r>
      <w:r>
        <w:rPr>
          <w:rFonts w:hint="default" w:ascii="Times New Roman" w:hAnsi="Times New Roman" w:cs="Times New Roman"/>
          <w:i w:val="0"/>
          <w:caps w:val="0"/>
          <w:smallCaps w:val="0"/>
          <w:color w:val="auto"/>
          <w:spacing w:val="0"/>
          <w:kern w:val="2"/>
          <w:sz w:val="32"/>
          <w:szCs w:val="32"/>
          <w:lang w:val="en-US" w:eastAsia="zh-CN"/>
        </w:rPr>
        <w:t>对新认定国家级制造业单项冠军企业和专精特新“小巨人”企业给予奖励20万元/家</w:t>
      </w:r>
      <w:r>
        <w:rPr>
          <w:rFonts w:hint="eastAsia" w:ascii="Times New Roman" w:hAnsi="Times New Roman" w:cs="Times New Roman"/>
          <w:i w:val="0"/>
          <w:caps w:val="0"/>
          <w:smallCaps w:val="0"/>
          <w:color w:val="auto"/>
          <w:spacing w:val="0"/>
          <w:kern w:val="2"/>
          <w:sz w:val="32"/>
          <w:szCs w:val="32"/>
          <w:lang w:val="en-US" w:eastAsia="zh-CN"/>
        </w:rPr>
        <w:t>，</w:t>
      </w:r>
      <w:r>
        <w:rPr>
          <w:rFonts w:hint="default" w:ascii="Times New Roman" w:hAnsi="Times New Roman" w:cs="Times New Roman"/>
          <w:i w:val="0"/>
          <w:caps w:val="0"/>
          <w:smallCaps w:val="0"/>
          <w:color w:val="auto"/>
          <w:spacing w:val="0"/>
          <w:kern w:val="2"/>
          <w:sz w:val="32"/>
          <w:szCs w:val="32"/>
          <w:lang w:val="en-US" w:eastAsia="zh-CN"/>
        </w:rPr>
        <w:t>省级制造业单项冠军企业和专精特新中小企业给予奖励10万元/家</w:t>
      </w:r>
      <w:r>
        <w:rPr>
          <w:rFonts w:hint="eastAsia" w:ascii="Times New Roman" w:hAnsi="Times New Roman" w:cs="Times New Roman"/>
          <w:i w:val="0"/>
          <w:caps w:val="0"/>
          <w:smallCaps w:val="0"/>
          <w:color w:val="auto"/>
          <w:spacing w:val="0"/>
          <w:kern w:val="2"/>
          <w:sz w:val="32"/>
          <w:szCs w:val="32"/>
          <w:lang w:val="en-US" w:eastAsia="zh-CN"/>
        </w:rPr>
        <w:t>，</w:t>
      </w:r>
      <w:r>
        <w:rPr>
          <w:rFonts w:hint="default" w:ascii="Times New Roman" w:hAnsi="Times New Roman" w:cs="Times New Roman"/>
          <w:i w:val="0"/>
          <w:caps w:val="0"/>
          <w:smallCaps w:val="0"/>
          <w:color w:val="auto"/>
          <w:spacing w:val="0"/>
          <w:kern w:val="2"/>
          <w:sz w:val="32"/>
          <w:szCs w:val="32"/>
          <w:lang w:val="en-US" w:eastAsia="zh-CN"/>
        </w:rPr>
        <w:t>首次申报高新技术企业认定获省科技厅受理的企业给予奖励3万元/家</w:t>
      </w:r>
      <w:r>
        <w:rPr>
          <w:rFonts w:hint="eastAsia" w:ascii="Times New Roman" w:hAnsi="Times New Roman" w:cs="Times New Roman"/>
          <w:i w:val="0"/>
          <w:caps w:val="0"/>
          <w:smallCaps w:val="0"/>
          <w:color w:val="auto"/>
          <w:spacing w:val="0"/>
          <w:kern w:val="2"/>
          <w:sz w:val="32"/>
          <w:szCs w:val="32"/>
          <w:lang w:val="en-US" w:eastAsia="zh-CN"/>
        </w:rPr>
        <w:t>，</w:t>
      </w:r>
      <w:r>
        <w:rPr>
          <w:rFonts w:hint="default" w:ascii="Times New Roman" w:hAnsi="Times New Roman" w:cs="Times New Roman"/>
          <w:i w:val="0"/>
          <w:caps w:val="0"/>
          <w:smallCaps w:val="0"/>
          <w:color w:val="auto"/>
          <w:spacing w:val="0"/>
          <w:kern w:val="2"/>
          <w:sz w:val="32"/>
          <w:szCs w:val="32"/>
          <w:lang w:val="en-US" w:eastAsia="zh-CN"/>
        </w:rPr>
        <w:t>首次通过高新技术企业认定的企业给予奖励10万元/家</w:t>
      </w:r>
      <w:r>
        <w:rPr>
          <w:rFonts w:hint="eastAsia" w:ascii="Times New Roman" w:hAnsi="Times New Roman" w:cs="Times New Roman"/>
          <w:i w:val="0"/>
          <w:caps w:val="0"/>
          <w:smallCaps w:val="0"/>
          <w:color w:val="auto"/>
          <w:spacing w:val="0"/>
          <w:kern w:val="2"/>
          <w:sz w:val="32"/>
          <w:szCs w:val="32"/>
          <w:lang w:val="en-US" w:eastAsia="zh-CN"/>
        </w:rPr>
        <w:t>，</w:t>
      </w:r>
      <w:r>
        <w:rPr>
          <w:rFonts w:hint="default" w:ascii="Times New Roman" w:hAnsi="Times New Roman" w:cs="Times New Roman"/>
          <w:i w:val="0"/>
          <w:caps w:val="0"/>
          <w:smallCaps w:val="0"/>
          <w:color w:val="auto"/>
          <w:spacing w:val="0"/>
          <w:kern w:val="2"/>
          <w:sz w:val="32"/>
          <w:szCs w:val="32"/>
          <w:lang w:val="en-US" w:eastAsia="zh-CN"/>
        </w:rPr>
        <w:t>重新通过高新技术企业认定的企业给予奖励6万元/家。（龙湖区工业和信息化局负责）</w:t>
      </w:r>
    </w:p>
    <w:p w14:paraId="51E2969F">
      <w:pPr>
        <w:pStyle w:val="2"/>
        <w:keepNext w:val="0"/>
        <w:keepLines w:val="0"/>
        <w:pageBreakBefore w:val="0"/>
        <w:widowControl w:val="0"/>
        <w:kinsoku/>
        <w:wordWrap/>
        <w:overflowPunct/>
        <w:topLinePunct w:val="0"/>
        <w:autoSpaceDE w:val="0"/>
        <w:autoSpaceDN w:val="0"/>
        <w:bidi w:val="0"/>
        <w:adjustRightInd w:val="0"/>
        <w:snapToGrid/>
        <w:spacing w:line="240" w:lineRule="auto"/>
        <w:ind w:left="0" w:firstLine="636" w:firstLineChars="200"/>
        <w:textAlignment w:val="auto"/>
        <w:rPr>
          <w:rFonts w:hint="default" w:ascii="Times New Roman" w:hAnsi="Times New Roman" w:cs="Times New Roman"/>
          <w:i w:val="0"/>
          <w:caps w:val="0"/>
          <w:smallCaps w:val="0"/>
          <w:color w:val="auto"/>
          <w:spacing w:val="0"/>
          <w:kern w:val="2"/>
          <w:sz w:val="32"/>
          <w:szCs w:val="32"/>
          <w:lang w:val="en-US" w:eastAsia="zh-CN"/>
        </w:rPr>
      </w:pPr>
      <w:r>
        <w:rPr>
          <w:rFonts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七</w:t>
      </w:r>
      <w:r>
        <w:rPr>
          <w:rFonts w:ascii="Times New Roman" w:hAnsi="Times New Roman" w:eastAsia="黑体" w:cs="Times New Roman"/>
          <w:color w:val="auto"/>
          <w:sz w:val="32"/>
          <w:szCs w:val="32"/>
          <w:lang w:val="en-US" w:eastAsia="zh-CN"/>
        </w:rPr>
        <w:t>条</w:t>
      </w:r>
      <w:r>
        <w:rPr>
          <w:rFonts w:ascii="Times New Roman" w:hAnsi="Times New Roman" w:cs="Times New Roman"/>
          <w:i w:val="0"/>
          <w:caps w:val="0"/>
          <w:smallCaps w:val="0"/>
          <w:color w:val="auto"/>
          <w:spacing w:val="0"/>
          <w:kern w:val="2"/>
          <w:sz w:val="32"/>
          <w:szCs w:val="32"/>
          <w:lang w:val="en-US" w:eastAsia="zh-CN"/>
        </w:rPr>
        <w:t xml:space="preserve"> </w:t>
      </w:r>
      <w:r>
        <w:rPr>
          <w:rFonts w:hint="eastAsia" w:ascii="Times New Roman" w:hAnsi="Times New Roman" w:cs="Times New Roman"/>
          <w:i w:val="0"/>
          <w:caps w:val="0"/>
          <w:smallCaps w:val="0"/>
          <w:color w:val="auto"/>
          <w:spacing w:val="0"/>
          <w:kern w:val="2"/>
          <w:sz w:val="32"/>
          <w:szCs w:val="32"/>
          <w:lang w:val="en-US" w:eastAsia="zh-CN"/>
        </w:rPr>
        <w:t>对</w:t>
      </w:r>
      <w:r>
        <w:rPr>
          <w:rFonts w:hint="default" w:ascii="Times New Roman" w:hAnsi="Times New Roman" w:cs="Times New Roman"/>
          <w:i w:val="0"/>
          <w:caps w:val="0"/>
          <w:smallCaps w:val="0"/>
          <w:color w:val="auto"/>
          <w:spacing w:val="0"/>
          <w:kern w:val="2"/>
          <w:sz w:val="32"/>
          <w:szCs w:val="32"/>
          <w:lang w:val="en-US" w:eastAsia="zh-CN"/>
        </w:rPr>
        <w:t>新增入库的规模以上工业企业</w:t>
      </w:r>
      <w:r>
        <w:rPr>
          <w:rFonts w:hint="eastAsia" w:ascii="Times New Roman" w:hAnsi="Times New Roman" w:cs="Times New Roman"/>
          <w:i w:val="0"/>
          <w:caps w:val="0"/>
          <w:smallCaps w:val="0"/>
          <w:color w:val="auto"/>
          <w:spacing w:val="0"/>
          <w:kern w:val="2"/>
          <w:sz w:val="32"/>
          <w:szCs w:val="32"/>
          <w:lang w:val="en-US" w:eastAsia="zh-CN"/>
        </w:rPr>
        <w:t>给</w:t>
      </w:r>
      <w:r>
        <w:rPr>
          <w:rFonts w:hint="default" w:ascii="Times New Roman" w:hAnsi="Times New Roman" w:cs="Times New Roman"/>
          <w:i w:val="0"/>
          <w:caps w:val="0"/>
          <w:smallCaps w:val="0"/>
          <w:color w:val="auto"/>
          <w:spacing w:val="0"/>
          <w:kern w:val="2"/>
          <w:sz w:val="32"/>
          <w:szCs w:val="32"/>
          <w:lang w:val="en-US" w:eastAsia="zh-CN"/>
        </w:rPr>
        <w:t>予以奖励6万元/家，新增入库的限上批零住餐企业和规上服务业企业予以奖励2万元/家，“个转企”当年度培育入库的企业，在以上奖励的基础上再给予奖励2万元/家。（</w:t>
      </w:r>
      <w:r>
        <w:rPr>
          <w:rFonts w:hint="default" w:ascii="Times New Roman" w:hAnsi="Times New Roman" w:eastAsia="仿宋_GB2312" w:cs="Times New Roman"/>
          <w:color w:val="auto"/>
          <w:sz w:val="32"/>
          <w:szCs w:val="32"/>
          <w:lang w:eastAsia="zh-CN"/>
        </w:rPr>
        <w:t>龙湖区发展和改革局负责</w:t>
      </w:r>
      <w:r>
        <w:rPr>
          <w:rFonts w:hint="default" w:ascii="Times New Roman" w:hAnsi="Times New Roman" w:cs="Times New Roman"/>
          <w:i w:val="0"/>
          <w:caps w:val="0"/>
          <w:smallCaps w:val="0"/>
          <w:color w:val="auto"/>
          <w:spacing w:val="0"/>
          <w:kern w:val="2"/>
          <w:sz w:val="32"/>
          <w:szCs w:val="32"/>
          <w:lang w:val="en-US" w:eastAsia="zh-CN"/>
        </w:rPr>
        <w:t>）</w:t>
      </w:r>
    </w:p>
    <w:p w14:paraId="5818D28D">
      <w:pPr>
        <w:pStyle w:val="2"/>
        <w:keepNext w:val="0"/>
        <w:keepLines w:val="0"/>
        <w:pageBreakBefore w:val="0"/>
        <w:widowControl w:val="0"/>
        <w:kinsoku/>
        <w:wordWrap/>
        <w:overflowPunct/>
        <w:topLinePunct w:val="0"/>
        <w:autoSpaceDE w:val="0"/>
        <w:autoSpaceDN w:val="0"/>
        <w:bidi w:val="0"/>
        <w:adjustRightInd w:val="0"/>
        <w:snapToGrid/>
        <w:spacing w:line="240" w:lineRule="auto"/>
        <w:ind w:left="0" w:firstLine="636" w:firstLineChars="200"/>
        <w:textAlignment w:val="auto"/>
        <w:rPr>
          <w:rFonts w:ascii="Times New Roman" w:hAnsi="Times New Roman" w:cs="Times New Roman"/>
          <w:i w:val="0"/>
          <w:caps w:val="0"/>
          <w:smallCaps w:val="0"/>
          <w:color w:val="auto"/>
          <w:spacing w:val="0"/>
          <w:kern w:val="2"/>
          <w:sz w:val="32"/>
          <w:szCs w:val="32"/>
          <w:lang w:val="en-US" w:eastAsia="zh-CN"/>
        </w:rPr>
      </w:pPr>
      <w:r>
        <w:rPr>
          <w:rFonts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八</w:t>
      </w:r>
      <w:r>
        <w:rPr>
          <w:rFonts w:ascii="Times New Roman" w:hAnsi="Times New Roman" w:eastAsia="黑体" w:cs="Times New Roman"/>
          <w:color w:val="auto"/>
          <w:sz w:val="32"/>
          <w:szCs w:val="32"/>
          <w:lang w:val="en-US" w:eastAsia="zh-CN"/>
        </w:rPr>
        <w:t>条</w:t>
      </w:r>
      <w:r>
        <w:rPr>
          <w:rFonts w:ascii="Times New Roman" w:hAnsi="Times New Roman" w:cs="Times New Roman"/>
          <w:i w:val="0"/>
          <w:caps w:val="0"/>
          <w:smallCaps w:val="0"/>
          <w:color w:val="auto"/>
          <w:spacing w:val="0"/>
          <w:kern w:val="2"/>
          <w:sz w:val="32"/>
          <w:szCs w:val="32"/>
          <w:lang w:val="en-US" w:eastAsia="zh-CN"/>
        </w:rPr>
        <w:t xml:space="preserve"> 对当年度申报省级企业技术改造项目奖补资金，通过市统一组织的完工评价，但未能通过竞争性遴选入库或入库但未能获得奖补资金的项目，以项目设备投资额（不含税）的1.5%</w:t>
      </w:r>
      <w:r>
        <w:rPr>
          <w:rFonts w:hint="eastAsia" w:ascii="Times New Roman" w:hAnsi="Times New Roman" w:cs="Times New Roman"/>
          <w:i w:val="0"/>
          <w:caps w:val="0"/>
          <w:smallCaps w:val="0"/>
          <w:color w:val="auto"/>
          <w:spacing w:val="0"/>
          <w:kern w:val="2"/>
          <w:sz w:val="32"/>
          <w:szCs w:val="32"/>
          <w:lang w:val="en-US" w:eastAsia="zh-CN"/>
        </w:rPr>
        <w:t>给予奖励</w:t>
      </w:r>
      <w:r>
        <w:rPr>
          <w:rFonts w:ascii="Times New Roman" w:hAnsi="Times New Roman" w:cs="Times New Roman"/>
          <w:i w:val="0"/>
          <w:caps w:val="0"/>
          <w:smallCaps w:val="0"/>
          <w:color w:val="auto"/>
          <w:spacing w:val="0"/>
          <w:kern w:val="2"/>
          <w:sz w:val="32"/>
          <w:szCs w:val="32"/>
          <w:lang w:val="en-US" w:eastAsia="zh-CN"/>
        </w:rPr>
        <w:t>，每个项目</w:t>
      </w:r>
      <w:r>
        <w:rPr>
          <w:rFonts w:hint="eastAsia" w:ascii="Times New Roman" w:hAnsi="Times New Roman" w:cs="Times New Roman"/>
          <w:i w:val="0"/>
          <w:caps w:val="0"/>
          <w:smallCaps w:val="0"/>
          <w:color w:val="auto"/>
          <w:spacing w:val="0"/>
          <w:kern w:val="2"/>
          <w:sz w:val="32"/>
          <w:szCs w:val="32"/>
          <w:lang w:val="en-US" w:eastAsia="zh-CN"/>
        </w:rPr>
        <w:t>每年奖励</w:t>
      </w:r>
      <w:r>
        <w:rPr>
          <w:rFonts w:ascii="Times New Roman" w:hAnsi="Times New Roman" w:cs="Times New Roman"/>
          <w:i w:val="0"/>
          <w:caps w:val="0"/>
          <w:smallCaps w:val="0"/>
          <w:color w:val="auto"/>
          <w:spacing w:val="0"/>
          <w:kern w:val="2"/>
          <w:sz w:val="32"/>
          <w:szCs w:val="32"/>
          <w:lang w:val="en-US" w:eastAsia="zh-CN"/>
        </w:rPr>
        <w:t>最高不超过30万。（龙湖区工业和信息化局负责）</w:t>
      </w:r>
    </w:p>
    <w:p w14:paraId="0A1A00E0">
      <w:pPr>
        <w:keepNext w:val="0"/>
        <w:keepLines w:val="0"/>
        <w:pageBreakBefore w:val="0"/>
        <w:widowControl/>
        <w:kinsoku/>
        <w:wordWrap/>
        <w:overflowPunct/>
        <w:topLinePunct w:val="0"/>
        <w:bidi w:val="0"/>
        <w:snapToGrid/>
        <w:spacing w:line="240" w:lineRule="auto"/>
        <w:ind w:firstLine="636"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九</w:t>
      </w:r>
      <w:r>
        <w:rPr>
          <w:rFonts w:ascii="Times New Roman" w:hAnsi="Times New Roman" w:eastAsia="黑体" w:cs="Times New Roman"/>
          <w:color w:val="auto"/>
          <w:sz w:val="32"/>
          <w:szCs w:val="32"/>
        </w:rPr>
        <w:t>条</w:t>
      </w:r>
      <w:r>
        <w:rPr>
          <w:rFonts w:ascii="Times New Roman" w:hAnsi="Times New Roman" w:eastAsia="黑体" w:cs="Times New Roman"/>
          <w:color w:val="auto"/>
          <w:sz w:val="32"/>
          <w:szCs w:val="32"/>
          <w:lang w:eastAsia="zh-CN"/>
        </w:rPr>
        <w:t>【其他事项】</w:t>
      </w:r>
    </w:p>
    <w:p w14:paraId="6994FCF1">
      <w:pPr>
        <w:pStyle w:val="2"/>
        <w:keepNext w:val="0"/>
        <w:keepLines w:val="0"/>
        <w:pageBreakBefore w:val="0"/>
        <w:numPr>
          <w:ilvl w:val="0"/>
          <w:numId w:val="1"/>
        </w:numPr>
        <w:kinsoku/>
        <w:wordWrap/>
        <w:overflowPunct/>
        <w:topLinePunct w:val="0"/>
        <w:autoSpaceDE w:val="0"/>
        <w:autoSpaceDN w:val="0"/>
        <w:bidi w:val="0"/>
        <w:adjustRightInd w:val="0"/>
        <w:snapToGrid/>
        <w:spacing w:line="240" w:lineRule="auto"/>
        <w:ind w:left="0" w:firstLine="636"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val="0"/>
          <w:bCs w:val="0"/>
          <w:color w:val="auto"/>
          <w:kern w:val="2"/>
          <w:sz w:val="32"/>
          <w:szCs w:val="32"/>
          <w:lang w:val="en-US" w:eastAsia="zh-CN" w:bidi="ar-SA"/>
        </w:rPr>
        <w:t>本措施相应负责单位应当结合分工及时制定出台实施细则或操作规程</w:t>
      </w:r>
      <w:r>
        <w:rPr>
          <w:rFonts w:hint="eastAsia" w:ascii="Times New Roman" w:hAnsi="Times New Roman" w:cs="Times New Roman"/>
          <w:b w:val="0"/>
          <w:bCs w:val="0"/>
          <w:color w:val="auto"/>
          <w:kern w:val="2"/>
          <w:sz w:val="32"/>
          <w:szCs w:val="32"/>
          <w:lang w:val="en-US" w:eastAsia="zh-CN" w:bidi="ar-SA"/>
        </w:rPr>
        <w:t>（条件明确、标准清晰，符合要求的</w:t>
      </w:r>
      <w:r>
        <w:rPr>
          <w:rFonts w:ascii="Times New Roman" w:hAnsi="Times New Roman" w:cs="Times New Roman"/>
          <w:b w:val="0"/>
          <w:bCs w:val="0"/>
          <w:color w:val="auto"/>
          <w:kern w:val="2"/>
          <w:sz w:val="32"/>
          <w:szCs w:val="32"/>
          <w:lang w:val="en-US" w:eastAsia="zh-CN" w:bidi="ar-SA"/>
        </w:rPr>
        <w:t>可规范操作流程并</w:t>
      </w:r>
      <w:r>
        <w:rPr>
          <w:rFonts w:hint="eastAsia" w:ascii="Times New Roman" w:hAnsi="Times New Roman" w:cs="Times New Roman"/>
          <w:b w:val="0"/>
          <w:bCs w:val="0"/>
          <w:color w:val="auto"/>
          <w:kern w:val="2"/>
          <w:sz w:val="32"/>
          <w:szCs w:val="32"/>
          <w:lang w:val="en-US" w:eastAsia="zh-CN" w:bidi="ar-SA"/>
        </w:rPr>
        <w:t>推行“免申即享</w:t>
      </w:r>
      <w:r>
        <w:rPr>
          <w:rFonts w:ascii="Times New Roman" w:hAnsi="Times New Roman" w:cs="Times New Roman"/>
          <w:b w:val="0"/>
          <w:bCs w:val="0"/>
          <w:color w:val="auto"/>
          <w:kern w:val="2"/>
          <w:sz w:val="32"/>
          <w:szCs w:val="32"/>
          <w:lang w:val="en-US" w:eastAsia="zh-CN" w:bidi="ar-SA"/>
        </w:rPr>
        <w:t>，实时兑现</w:t>
      </w:r>
      <w:r>
        <w:rPr>
          <w:rFonts w:hint="eastAsia" w:ascii="Times New Roman" w:hAnsi="Times New Roman" w:cs="Times New Roman"/>
          <w:b w:val="0"/>
          <w:bCs w:val="0"/>
          <w:color w:val="auto"/>
          <w:kern w:val="2"/>
          <w:sz w:val="32"/>
          <w:szCs w:val="32"/>
          <w:lang w:val="en-US" w:eastAsia="zh-CN" w:bidi="ar-SA"/>
        </w:rPr>
        <w:t>”）；</w:t>
      </w:r>
      <w:r>
        <w:rPr>
          <w:rFonts w:ascii="Times New Roman" w:hAnsi="Times New Roman" w:eastAsia="仿宋_GB2312" w:cs="Times New Roman"/>
          <w:color w:val="auto"/>
          <w:sz w:val="32"/>
          <w:szCs w:val="32"/>
        </w:rPr>
        <w:t>统计口径以龙湖区统计部门为准，具体工作由龙湖区相应负责部门承担</w:t>
      </w:r>
      <w:r>
        <w:rPr>
          <w:rFonts w:ascii="Times New Roman" w:hAnsi="Times New Roman" w:eastAsia="仿宋_GB2312" w:cs="Times New Roman"/>
          <w:i w:val="0"/>
          <w:caps w:val="0"/>
          <w:smallCaps w:val="0"/>
          <w:color w:val="auto"/>
          <w:spacing w:val="0"/>
          <w:kern w:val="2"/>
          <w:sz w:val="32"/>
          <w:szCs w:val="32"/>
          <w:lang w:val="en-US" w:eastAsia="zh-CN" w:bidi="ar-SA"/>
        </w:rPr>
        <w:t>。</w:t>
      </w:r>
    </w:p>
    <w:p w14:paraId="753A7E6A">
      <w:pPr>
        <w:pStyle w:val="2"/>
        <w:keepNext w:val="0"/>
        <w:keepLines w:val="0"/>
        <w:pageBreakBefore w:val="0"/>
        <w:numPr>
          <w:ilvl w:val="0"/>
          <w:numId w:val="1"/>
        </w:numPr>
        <w:kinsoku/>
        <w:wordWrap/>
        <w:overflowPunct/>
        <w:topLinePunct w:val="0"/>
        <w:autoSpaceDE w:val="0"/>
        <w:autoSpaceDN w:val="0"/>
        <w:bidi w:val="0"/>
        <w:adjustRightInd w:val="0"/>
        <w:snapToGrid/>
        <w:spacing w:line="240" w:lineRule="auto"/>
        <w:ind w:left="0" w:firstLine="636" w:firstLineChars="200"/>
        <w:textAlignment w:val="auto"/>
        <w:rPr>
          <w:rFonts w:hint="eastAsia" w:ascii="Times New Roman" w:hAnsi="Times New Roman" w:cs="Times New Roman"/>
          <w:b w:val="0"/>
          <w:bCs w:val="0"/>
          <w:color w:val="auto"/>
          <w:kern w:val="2"/>
          <w:sz w:val="32"/>
          <w:szCs w:val="32"/>
          <w:lang w:val="en-US" w:eastAsia="zh-CN" w:bidi="ar-SA"/>
        </w:rPr>
      </w:pPr>
      <w:r>
        <w:rPr>
          <w:rFonts w:hint="eastAsia" w:ascii="Times New Roman" w:hAnsi="Times New Roman" w:eastAsia="仿宋_GB2312" w:cs="Times New Roman"/>
          <w:color w:val="auto"/>
          <w:sz w:val="32"/>
          <w:szCs w:val="32"/>
          <w:lang w:eastAsia="zh-CN"/>
        </w:rPr>
        <w:t>本措施</w:t>
      </w:r>
      <w:r>
        <w:rPr>
          <w:rFonts w:ascii="Times New Roman" w:hAnsi="Times New Roman" w:eastAsia="仿宋_GB2312" w:cs="Times New Roman"/>
          <w:color w:val="auto"/>
          <w:sz w:val="32"/>
          <w:szCs w:val="32"/>
        </w:rPr>
        <w:t>适用于202</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年1月1日起符合条件的</w:t>
      </w:r>
      <w:r>
        <w:rPr>
          <w:rFonts w:hint="eastAsia" w:ascii="Times New Roman" w:hAnsi="Times New Roman" w:eastAsia="仿宋_GB2312" w:cs="Times New Roman"/>
          <w:color w:val="auto"/>
          <w:sz w:val="32"/>
          <w:szCs w:val="32"/>
          <w:lang w:eastAsia="zh-CN"/>
        </w:rPr>
        <w:t>企业</w:t>
      </w:r>
      <w:r>
        <w:rPr>
          <w:rFonts w:ascii="Times New Roman" w:hAnsi="Times New Roman" w:eastAsia="仿宋_GB2312" w:cs="Times New Roman"/>
          <w:color w:val="auto"/>
          <w:sz w:val="32"/>
          <w:szCs w:val="32"/>
        </w:rPr>
        <w:t>或项目</w:t>
      </w:r>
      <w:r>
        <w:rPr>
          <w:rFonts w:hint="eastAsia" w:ascii="Times New Roman" w:hAnsi="Times New Roman" w:cs="Times New Roman"/>
          <w:color w:val="auto"/>
          <w:sz w:val="32"/>
          <w:szCs w:val="32"/>
          <w:lang w:eastAsia="zh-CN"/>
        </w:rPr>
        <w:t>；</w:t>
      </w:r>
      <w:r>
        <w:rPr>
          <w:rFonts w:ascii="Times New Roman" w:hAnsi="Times New Roman" w:eastAsia="仿宋_GB2312" w:cs="Times New Roman"/>
          <w:color w:val="auto"/>
          <w:sz w:val="32"/>
          <w:szCs w:val="32"/>
        </w:rPr>
        <w:t>同一企业同一事项符合两项或两项以上</w:t>
      </w:r>
      <w:r>
        <w:rPr>
          <w:rFonts w:ascii="Times New Roman" w:hAnsi="Times New Roman" w:eastAsia="仿宋_GB2312" w:cs="Times New Roman"/>
          <w:color w:val="auto"/>
          <w:sz w:val="32"/>
          <w:szCs w:val="32"/>
          <w:lang w:eastAsia="zh-CN"/>
        </w:rPr>
        <w:t>龙湖区政策</w:t>
      </w:r>
      <w:r>
        <w:rPr>
          <w:rFonts w:ascii="Times New Roman" w:hAnsi="Times New Roman" w:eastAsia="仿宋_GB2312" w:cs="Times New Roman"/>
          <w:color w:val="auto"/>
          <w:sz w:val="32"/>
          <w:szCs w:val="32"/>
        </w:rPr>
        <w:t>可就高执行</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但不重复享受</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strike w:val="0"/>
          <w:dstrike w:val="0"/>
          <w:color w:val="auto"/>
          <w:sz w:val="32"/>
          <w:szCs w:val="32"/>
          <w:lang w:eastAsia="zh-CN"/>
        </w:rPr>
        <w:t>除第五条外，享受本措施的企业</w:t>
      </w:r>
      <w:r>
        <w:rPr>
          <w:rFonts w:ascii="Times New Roman" w:hAnsi="Times New Roman" w:eastAsia="仿宋_GB2312" w:cs="Times New Roman"/>
          <w:i w:val="0"/>
          <w:caps w:val="0"/>
          <w:smallCaps w:val="0"/>
          <w:color w:val="auto"/>
          <w:spacing w:val="0"/>
          <w:kern w:val="2"/>
          <w:sz w:val="32"/>
          <w:szCs w:val="32"/>
          <w:lang w:val="en-US" w:eastAsia="zh-CN" w:bidi="ar-SA"/>
        </w:rPr>
        <w:t>须在龙湖区开展实际经营</w:t>
      </w:r>
      <w:r>
        <w:rPr>
          <w:rFonts w:hint="eastAsia" w:ascii="Times New Roman" w:hAnsi="Times New Roman" w:cs="Times New Roman"/>
          <w:i w:val="0"/>
          <w:caps w:val="0"/>
          <w:smallCaps w:val="0"/>
          <w:color w:val="auto"/>
          <w:spacing w:val="0"/>
          <w:kern w:val="2"/>
          <w:sz w:val="32"/>
          <w:szCs w:val="32"/>
          <w:lang w:val="en-US" w:eastAsia="zh-CN" w:bidi="ar-SA"/>
        </w:rPr>
        <w:t>。</w:t>
      </w:r>
    </w:p>
    <w:p w14:paraId="7044CCDB">
      <w:pPr>
        <w:pStyle w:val="2"/>
        <w:keepNext w:val="0"/>
        <w:keepLines w:val="0"/>
        <w:pageBreakBefore w:val="0"/>
        <w:numPr>
          <w:ilvl w:val="0"/>
          <w:numId w:val="1"/>
        </w:numPr>
        <w:kinsoku/>
        <w:wordWrap/>
        <w:overflowPunct/>
        <w:topLinePunct w:val="0"/>
        <w:autoSpaceDE w:val="0"/>
        <w:autoSpaceDN w:val="0"/>
        <w:bidi w:val="0"/>
        <w:adjustRightInd w:val="0"/>
        <w:snapToGrid/>
        <w:spacing w:line="240" w:lineRule="auto"/>
        <w:ind w:left="0" w:firstLine="636" w:firstLineChars="200"/>
        <w:textAlignment w:val="auto"/>
        <w:rPr>
          <w:rFonts w:ascii="Times New Roman" w:hAnsi="Times New Roman" w:eastAsia="仿宋_GB2312" w:cs="Times New Roman"/>
          <w:color w:val="auto"/>
          <w:sz w:val="32"/>
          <w:szCs w:val="32"/>
          <w:lang w:eastAsia="zh-CN"/>
        </w:rPr>
      </w:pPr>
      <w:r>
        <w:rPr>
          <w:rFonts w:hint="eastAsia" w:ascii="Times New Roman" w:hAnsi="Times New Roman" w:cs="Times New Roman"/>
          <w:b w:val="0"/>
          <w:bCs w:val="0"/>
          <w:color w:val="auto"/>
          <w:kern w:val="2"/>
          <w:sz w:val="32"/>
          <w:szCs w:val="32"/>
          <w:lang w:val="en-US" w:eastAsia="zh-CN" w:bidi="ar-SA"/>
        </w:rPr>
        <w:t>本措施奖励资金受坪山区对口帮扶协作龙湖区资金预算控制，由龙湖区人民政府统筹</w:t>
      </w:r>
      <w:r>
        <w:rPr>
          <w:rFonts w:ascii="Times New Roman" w:hAnsi="Times New Roman" w:eastAsia="仿宋_GB2312" w:cs="Times New Roman"/>
          <w:b w:val="0"/>
          <w:bCs w:val="0"/>
          <w:color w:val="auto"/>
          <w:kern w:val="2"/>
          <w:sz w:val="32"/>
          <w:szCs w:val="32"/>
          <w:lang w:val="en-US" w:eastAsia="zh-CN" w:bidi="ar-SA"/>
        </w:rPr>
        <w:t>。</w:t>
      </w:r>
    </w:p>
    <w:p w14:paraId="3BC130A2">
      <w:pPr>
        <w:pStyle w:val="2"/>
        <w:keepNext w:val="0"/>
        <w:keepLines w:val="0"/>
        <w:pageBreakBefore w:val="0"/>
        <w:numPr>
          <w:ilvl w:val="0"/>
          <w:numId w:val="1"/>
        </w:numPr>
        <w:kinsoku/>
        <w:wordWrap/>
        <w:overflowPunct/>
        <w:topLinePunct w:val="0"/>
        <w:autoSpaceDE w:val="0"/>
        <w:autoSpaceDN w:val="0"/>
        <w:bidi w:val="0"/>
        <w:adjustRightInd w:val="0"/>
        <w:snapToGrid/>
        <w:spacing w:line="240" w:lineRule="auto"/>
        <w:ind w:left="0" w:firstLine="636" w:firstLineChars="200"/>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以上奖励措施自颁布之日起施行，有效期至2026年12月31日。</w:t>
      </w:r>
    </w:p>
    <w:sectPr>
      <w:headerReference r:id="rId3" w:type="default"/>
      <w:footerReference r:id="rId4" w:type="default"/>
      <w:pgSz w:w="11906" w:h="16838"/>
      <w:pgMar w:top="2098" w:right="1474" w:bottom="1984" w:left="1587" w:header="851" w:footer="992" w:gutter="0"/>
      <w:pgNumType w:start="3"/>
      <w:cols w:space="720" w:num="1"/>
      <w:docGrid w:type="linesAndChars" w:linePitch="319"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F99A">
    <w:pPr>
      <w:pStyle w:val="10"/>
      <w:rPr>
        <w:rStyle w:val="16"/>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30584"/>
                      </a:xfrm>
                      <a:prstGeom prst="rect">
                        <a:avLst/>
                      </a:prstGeom>
                      <a:noFill/>
                      <a:ln w="6350" cap="flat" cmpd="sng">
                        <a:noFill/>
                        <a:prstDash val="solid"/>
                        <a:round/>
                      </a:ln>
                    </wps:spPr>
                    <wps:txbx>
                      <w:txbxContent>
                        <w:p w14:paraId="5B444AA4">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k2iV1gAAAAMBAAAPAAAAAAAAAAEAIAAAACIAAABkcnMvZG93bnJl&#10;di54bWxQSwECFAAUAAAACACHTuJACjfC2P8BAAD0AwAADgAAAAAAAAABACAAAAAlAQAAZHJzL2Uy&#10;b0RvYy54bWxQSwUGAAAAAAYABgBZAQAAlgUAAAAA&#10;">
              <v:fill on="f" focussize="0,0"/>
              <v:stroke on="f" weight="0.5pt" joinstyle="round"/>
              <v:imagedata o:title=""/>
              <o:lock v:ext="edit" aspectratio="f"/>
              <v:textbox inset="0mm,0mm,0mm,0mm" style="mso-fit-shape-to-text:t;">
                <w:txbxContent>
                  <w:p w14:paraId="5B444AA4">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p w14:paraId="5B217CE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2709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E3C64"/>
    <w:multiLevelType w:val="singleLevel"/>
    <w:tmpl w:val="D5DE3C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4"/>
  <w:drawingGridVerticalSpacing w:val="319"/>
  <w:displayHorizontalDrawingGridEvery w:val="1"/>
  <w:displayVerticalDrawingGridEvery w:val="1"/>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
  <w:docVars>
    <w:docVar w:name="commondata" w:val="eyJoZGlkIjoiY2JjOGFjYTk3ODRkODFjYTBlZWE4NmE5OTc5ZmFmZWMifQ=="/>
  </w:docVars>
  <w:rsids>
    <w:rsidRoot w:val="00000000"/>
    <w:rsid w:val="0A0D3BF7"/>
    <w:rsid w:val="1CA77DCA"/>
    <w:rsid w:val="224F5807"/>
    <w:rsid w:val="26366081"/>
    <w:rsid w:val="29F94C16"/>
    <w:rsid w:val="4E562D6D"/>
    <w:rsid w:val="6D22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0"/>
    <w:pPr>
      <w:spacing w:before="0" w:beforeAutospacing="1" w:after="0" w:afterAutospacing="1"/>
      <w:jc w:val="left"/>
      <w:outlineLvl w:val="0"/>
    </w:pPr>
    <w:rPr>
      <w:rFonts w:ascii="宋体" w:hAnsi="宋体" w:eastAsia="宋体" w:cs="宋体"/>
      <w:b/>
      <w:kern w:val="44"/>
      <w:sz w:val="48"/>
      <w:szCs w:val="48"/>
      <w:lang w:val="en-US" w:eastAsia="zh-CN"/>
    </w:rPr>
  </w:style>
  <w:style w:type="paragraph" w:styleId="4">
    <w:name w:val="heading 2"/>
    <w:basedOn w:val="1"/>
    <w:next w:val="1"/>
    <w:link w:val="20"/>
    <w:qFormat/>
    <w:uiPriority w:val="0"/>
    <w:pPr>
      <w:keepNext/>
      <w:keepLines/>
      <w:spacing w:before="260" w:after="260" w:line="415" w:lineRule="auto"/>
      <w:outlineLvl w:val="1"/>
    </w:pPr>
    <w:rPr>
      <w:rFonts w:ascii="Cambria" w:hAnsi="Cambria" w:eastAsia="宋体" w:cs="宋体"/>
      <w:b/>
      <w:bCs/>
      <w:sz w:val="32"/>
      <w:szCs w:val="32"/>
    </w:rPr>
  </w:style>
  <w:style w:type="paragraph" w:styleId="5">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仿宋_GB2312" w:hAnsi="Calibri" w:eastAsia="仿宋_GB2312"/>
      <w:color w:val="000000"/>
      <w:sz w:val="24"/>
    </w:r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5">
    <w:name w:val="Strong"/>
    <w:basedOn w:val="14"/>
    <w:qFormat/>
    <w:uiPriority w:val="0"/>
    <w:rPr>
      <w:b/>
    </w:rPr>
  </w:style>
  <w:style w:type="character" w:styleId="16">
    <w:name w:val="page number"/>
    <w:basedOn w:val="14"/>
    <w:qFormat/>
    <w:uiPriority w:val="0"/>
    <w:rPr>
      <w:sz w:val="24"/>
    </w:rPr>
  </w:style>
  <w:style w:type="character" w:styleId="17">
    <w:name w:val="Emphasis"/>
    <w:basedOn w:val="14"/>
    <w:qFormat/>
    <w:uiPriority w:val="0"/>
    <w:rPr>
      <w:i/>
    </w:rPr>
  </w:style>
  <w:style w:type="character" w:styleId="18">
    <w:name w:val="Hyperlink"/>
    <w:qFormat/>
    <w:uiPriority w:val="0"/>
    <w:rPr>
      <w:color w:val="0000FF"/>
      <w:u w:val="single"/>
    </w:rPr>
  </w:style>
  <w:style w:type="character" w:customStyle="1" w:styleId="19">
    <w:name w:val="heading 1 Char"/>
    <w:basedOn w:val="14"/>
    <w:link w:val="3"/>
    <w:qFormat/>
    <w:uiPriority w:val="0"/>
    <w:rPr>
      <w:rFonts w:ascii="宋体" w:hAnsi="宋体" w:eastAsia="宋体" w:cs="宋体"/>
      <w:b/>
      <w:kern w:val="44"/>
      <w:sz w:val="48"/>
      <w:szCs w:val="48"/>
      <w:lang w:val="en-US" w:eastAsia="zh-CN" w:bidi="ar-SA"/>
    </w:rPr>
  </w:style>
  <w:style w:type="character" w:customStyle="1" w:styleId="20">
    <w:name w:val="heading 2 Char"/>
    <w:basedOn w:val="14"/>
    <w:link w:val="4"/>
    <w:qFormat/>
    <w:uiPriority w:val="0"/>
    <w:rPr>
      <w:rFonts w:ascii="Cambria" w:hAnsi="Cambria" w:eastAsia="宋体" w:cs="宋体"/>
      <w:b/>
      <w:bCs/>
      <w:kern w:val="2"/>
      <w:sz w:val="32"/>
      <w:szCs w:val="32"/>
      <w:lang w:val="en-US" w:eastAsia="zh-CN" w:bidi="ar-SA"/>
    </w:rPr>
  </w:style>
  <w:style w:type="character" w:customStyle="1" w:styleId="21">
    <w:name w:val="heading 3 Char"/>
    <w:basedOn w:val="14"/>
    <w:link w:val="5"/>
    <w:qFormat/>
    <w:uiPriority w:val="0"/>
    <w:rPr>
      <w:rFonts w:ascii="Calibri" w:hAnsi="Calibri" w:eastAsia="宋体" w:cs="Times New Roman"/>
      <w:b/>
      <w:bCs/>
      <w:kern w:val="2"/>
      <w:sz w:val="32"/>
      <w:szCs w:val="32"/>
      <w:lang w:val="en-US" w:eastAsia="zh-CN" w:bidi="ar-SA"/>
    </w:rPr>
  </w:style>
  <w:style w:type="character" w:customStyle="1" w:styleId="22">
    <w:name w:val="bjh-p"/>
    <w:basedOn w:val="14"/>
    <w:qFormat/>
    <w:uiPriority w:val="0"/>
  </w:style>
  <w:style w:type="paragraph" w:styleId="23">
    <w:name w:val="List Paragraph"/>
    <w:basedOn w:val="1"/>
    <w:qFormat/>
    <w:uiPriority w:val="0"/>
    <w:pPr>
      <w:ind w:left="200" w:leftChars="200"/>
    </w:pPr>
    <w:rPr>
      <w:rFonts w:ascii="Times New Roman" w:hAnsi="Times New Roman" w:eastAsia="宋体" w:cs="Times New Roman"/>
      <w:szCs w:val="24"/>
    </w:rPr>
  </w:style>
  <w:style w:type="character" w:customStyle="1" w:styleId="24">
    <w:name w:val="fontstyle01"/>
    <w:basedOn w:val="14"/>
    <w:qFormat/>
    <w:uiPriority w:val="0"/>
    <w:rPr>
      <w:rFonts w:ascii="仿宋_GB2312" w:eastAsia="仿宋_GB2312"/>
      <w:color w:val="000000"/>
      <w:sz w:val="32"/>
      <w:szCs w:val="32"/>
    </w:rPr>
  </w:style>
  <w:style w:type="character" w:customStyle="1" w:styleId="25">
    <w:name w:val="fontstyle21"/>
    <w:basedOn w:val="14"/>
    <w:qFormat/>
    <w:uiPriority w:val="0"/>
    <w:rPr>
      <w:rFonts w:ascii="TimesNewRomanPSMT" w:hAnsi="TimesNewRomanPSMT"/>
      <w:color w:val="000000"/>
      <w:sz w:val="32"/>
      <w:szCs w:val="32"/>
    </w:rPr>
  </w:style>
  <w:style w:type="paragraph" w:customStyle="1" w:styleId="26">
    <w:name w:val="封面正文"/>
    <w:qFormat/>
    <w:uiPriority w:val="0"/>
    <w:pPr>
      <w:jc w:val="both"/>
    </w:pPr>
    <w:rPr>
      <w:rFonts w:ascii="Times New Roman" w:hAnsi="Times New Roman" w:eastAsia="宋体" w:cs="Times New Roman"/>
      <w:kern w:val="0"/>
      <w:sz w:val="20"/>
      <w:szCs w:val="20"/>
      <w:lang w:val="en-US" w:eastAsia="zh-CN" w:bidi="ar-SA"/>
    </w:rPr>
  </w:style>
  <w:style w:type="paragraph" w:styleId="2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_Style 1"/>
    <w:basedOn w:val="1"/>
    <w:qFormat/>
    <w:uiPriority w:val="0"/>
    <w:pPr>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CAB71-4EF0-4933-B674-D06846B61360}">
  <ds:schemaRefs/>
</ds:datastoreItem>
</file>

<file path=docProps/app.xml><?xml version="1.0" encoding="utf-8"?>
<Properties xmlns="http://schemas.openxmlformats.org/officeDocument/2006/extended-properties" xmlns:vt="http://schemas.openxmlformats.org/officeDocument/2006/docPropsVTypes">
  <Template>Normal.eit</Template>
  <Company>Chinese ORG</Company>
  <Pages>4</Pages>
  <Words>1463</Words>
  <Characters>1506</Characters>
  <Lines>0</Lines>
  <Paragraphs>25</Paragraphs>
  <TotalTime>9</TotalTime>
  <ScaleCrop>false</ScaleCrop>
  <LinksUpToDate>false</LinksUpToDate>
  <CharactersWithSpaces>1516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2024-05-04T15:10:00Z</dcterms:created>
  <dc:creator>Administrator</dc:creator>
  <cp:lastModifiedBy>cxl</cp:lastModifiedBy>
  <cp:lastPrinted>2025-09-10T08:13:45Z</cp:lastPrinted>
  <dcterms:modified xsi:type="dcterms:W3CDTF">2025-09-10T08:23:38Z</dcterms:modified>
  <dc:title>梅高工委〔2016〕5号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F0FB9E74B8DB448698C7425925B1D8C0_13</vt:lpwstr>
  </property>
  <property fmtid="{D5CDD505-2E9C-101B-9397-08002B2CF9AE}" pid="4" name="KSOTemplateDocerSaveRecord">
    <vt:lpwstr>eyJoZGlkIjoiY2JjOGFjYTk3ODRkODFjYTBlZWE4NmE5OTc5ZmFmZWMifQ==</vt:lpwstr>
  </property>
</Properties>
</file>