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龙湖区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公益慈善助学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工作方案</w:t>
      </w:r>
    </w:p>
    <w:p>
      <w:pPr>
        <w:spacing w:line="560" w:lineRule="exact"/>
        <w:jc w:val="center"/>
        <w:rPr>
          <w:rFonts w:hint="eastAsia" w:ascii="方正楷体简体" w:hAnsi="宋体" w:eastAsia="方正楷体简体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征求意见稿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）</w:t>
      </w:r>
    </w:p>
    <w:p>
      <w:pPr>
        <w:jc w:val="center"/>
        <w:rPr>
          <w:rFonts w:hint="eastAsia" w:ascii="楷体_GB2312" w:hAnsi="仿宋" w:eastAsia="楷体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贯彻落实国家、省、市关于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改革完善社会救助制度的意见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及工作方案要求，大力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我区公益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慈善事业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促进社会力量参与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慈善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助学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帮扶活动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确保困难群众共享改革发展成果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，鼓励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困难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更加勤奋好学，奋力拼搏，奋发向上，为国家培养、输送更多高素质人才，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开展助学活动的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实践，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结合我区实际，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制订以下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工作方案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一、</w:t>
      </w:r>
      <w:r>
        <w:rPr>
          <w:rFonts w:hint="eastAsia" w:ascii="黑体" w:eastAsia="黑体"/>
          <w:color w:val="000000"/>
          <w:kern w:val="0"/>
          <w:sz w:val="32"/>
          <w:szCs w:val="32"/>
          <w:lang w:eastAsia="zh-CN"/>
        </w:rPr>
        <w:t>公益慈善助学</w:t>
      </w:r>
      <w:r>
        <w:rPr>
          <w:rFonts w:hint="eastAsia" w:ascii="黑体" w:eastAsia="黑体"/>
          <w:color w:val="000000"/>
          <w:kern w:val="0"/>
          <w:sz w:val="32"/>
          <w:szCs w:val="32"/>
        </w:rPr>
        <w:t>的</w:t>
      </w:r>
      <w:r>
        <w:rPr>
          <w:rFonts w:hint="eastAsia" w:ascii="黑体" w:eastAsia="黑体"/>
          <w:color w:val="000000"/>
          <w:kern w:val="0"/>
          <w:sz w:val="32"/>
          <w:szCs w:val="32"/>
          <w:lang w:val="en-US" w:eastAsia="zh-CN"/>
        </w:rPr>
        <w:t>目的意义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以习近平新时代中国特色社会主义思想为指导，全面贯彻党的十九大和十九届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历次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全会精神，坚持以人民为中心的发展思想，以统筹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慈善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资源、增强兜底功能、提升服务能力为重点，不断增强困难群众的幸福感和满意度。坚持尽力而为、量力而行，按照“政府主导、部门配合、社会捐助、统筹安排”的原则，进一步整合内外资源，拓展助学内容，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确保每一位大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因家庭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困难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而上不了学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从而激励更多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困难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好学上进，成为国家栋梁之才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促进我区公益慈善事业高质量发展。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Times New Roman" w:eastAsia="黑体" w:cs="Times New Roman"/>
          <w:color w:val="000000"/>
          <w:kern w:val="0"/>
          <w:sz w:val="32"/>
          <w:szCs w:val="32"/>
          <w:lang w:eastAsia="zh-CN"/>
        </w:rPr>
        <w:t>二、进一步规范我区的助学活动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</w:rPr>
        <w:t>助学资助范围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凡具有以下情形之一的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龙湖区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常住人口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，且无能力承担本人或子女完成学业的家庭：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城乡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低保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低保边缘家庭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建档立卡脱贫户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、孤儿、事实无人抚养儿童、困境儿童、困难残疾人、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烈士子女、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国有（集体）企业特困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下岗职工和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困难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单亲家庭。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2.家庭成员患重大疾病或重度残疾致使家庭生活困难的。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凡被龙湖区确定为助学资助对象的，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不再重复参加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机关企事业单位、人民团体等单位的助学活动，如有关单位已经进行资助，不再列入助学范围。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（二）助学对象条件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1.热爱祖国，拥护党的领导；遵守国家的宪法和法律，遵守学校的规章制度；诚实守信，道德品质优良；勤奋学习，积极上进；家庭困难，生活俭朴。（如在校期间有违法行为或受到学校处分的，不予资助）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.被正式录取到国家承认学历的本、专科院校的高中毕业生以及已经在院校就读的本、专科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及以上学历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的大学生。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（三）助学补助标准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1.孤儿、烈士子女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大学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阶段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每年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所有学费由区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慈善总会给予全额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资助。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2.其他符合条件的对象的助学资助标准按不同学段统一如下标准：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对符合资助条件且国家承认学历的本、专科院校已就读或录取的新生，按学年给予一次性资助，资助标准为：按本科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及以上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每人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5000元、大专每人4000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元，以后根据我区经济发展情况再作适当调整。资助对象实行动态管理，每年评选一次。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（四）助学审批程序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1.申请助学资助时须提供以下证明材料：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（1）户口薄、身份证、低保证、重度残疾人证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国有（集体）特困职工优待证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等身份证明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（均包括原件和复印件）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重大疾病证明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等佐证材料，属我区常住人口的助学申请对象应提供龙湖区居住证及在市级学校、龙湖区所属学校就读证明。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（2）所报考院校的录取通知书（原件和复印件）、在校学生证明（学生证或学校相关部门出具的证明材料）。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.高等院校阶段申请资助的审批程序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（1）属各部门，各线条资助的对象：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属于各部门、各线条的助学对象，不再列入区助学范围。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（2）属区助学的对象：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由学生本人向其户籍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或居住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在地的村（居）委会提出助学申请，填写《龙湖区助学申请审批表》和提供相关证明材料，村（居）委会对申请人的相关情况进行调查评议，并在村（居）务公开栏公示5天。无异议的，上报所属街道审核，由街道签署相关意见后。将符合条件的助学对象申请表及相关材料报送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公益慈善助学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协调小组办公室。经区协调小组审定确定为该学年助学对象的，由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区慈善总会或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相关部门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直接通过社会化发放方式发放至受助学生银行卡中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统一划拨各街道，由各街道负责发放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受助学生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助学活动结束后，对于经核查发现不符合助学条件的助学对象，应及时在助学名单中剔除并收回已发放的助学金。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办理时间：每年7月15日—8月30日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（五）助学资金来源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龙湖区助学的资金来源主要有以下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个渠道：1.区慈善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会募集的助学资金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善款；2.“广东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扶贫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济困日”所募捐的部分资金；3.区财政投入的助学资金；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.区直有关单位的助学资金（包括上级下拨的助学资金）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（六）助学资金管理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助学资金专项用于资助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辖区困难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家庭子女上学。区助学资金归口各相关部门统一管理，设专门账户，实行专款专用。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资金的使用由区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纪委监委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、财政、审计等部门进行检查监督，并接受社会监督，确保资金使用公开透明。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每年资助对象和标准定后，助学金实行统一发放，部门分工负责的形式。区统一组织的本、专科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及以上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助学资金由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区慈善总会或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相关部门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直接通过社会化发放方式发放至受助学生银行卡中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统一划拨各街道，由各街道负责发放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受助学生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ascii="黑体" w:eastAsia="黑体"/>
          <w:color w:val="000000"/>
          <w:kern w:val="0"/>
          <w:sz w:val="32"/>
          <w:szCs w:val="32"/>
        </w:rPr>
        <w:t>、推进</w:t>
      </w:r>
      <w:r>
        <w:rPr>
          <w:rFonts w:hint="eastAsia" w:ascii="黑体" w:eastAsia="黑体"/>
          <w:color w:val="000000"/>
          <w:kern w:val="0"/>
          <w:sz w:val="32"/>
          <w:szCs w:val="32"/>
          <w:lang w:eastAsia="zh-CN"/>
        </w:rPr>
        <w:t>公益慈善助学</w:t>
      </w:r>
      <w:r>
        <w:rPr>
          <w:rFonts w:ascii="黑体" w:eastAsia="黑体"/>
          <w:color w:val="000000"/>
          <w:kern w:val="0"/>
          <w:sz w:val="32"/>
          <w:szCs w:val="32"/>
        </w:rPr>
        <w:t>的保障措施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（一）加强组织领导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为加强对此项工作的组织领导，成立龙湖区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公益慈善助学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协调小组，由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分管教育工作的区领导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任组长，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分管民政工作的区领导为第一副组长，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区民政局局长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区教育局长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为副组长，区委区政府办公室、区人大办、区政协办、区纪委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监委办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、区委宣传部、区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统战部、区财政局、区民政局、区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农业农村局、区教育局、区退役军人事务局、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区残联、区总工会、区妇联、团区委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区慈善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会等单位以及各街道有关领导和相关人员成为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员。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协调小组下设办公室，办公室设在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民政局，负责助学活动的组织协调、资金管理、对象评审、资金发放等有关工作。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（二）强化分工协作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区助学协调小组各成员单位要切实加强分工协作，形成齐抓共管局面。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区民政局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区教育局、区慈善总会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要充分发挥本部门职能，在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公益慈善助学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活动组织实施、捐赠接收、资助对象资格审查、资金管理发放方面互相配合，落实责任，保障到位。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区农业农村局、区慈善总会要在建档立卡脱贫对象的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资格审查、资金管理发放方面互相配合，落实责任，保障到位。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区委宣传部要加强对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公益慈善助学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活动的意义以及相关好人、好事、典型的宣传报道工作。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区纪委监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、审计局要加强对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公益慈善助学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资金的管理使用全过程的监督、审计工作，并定期向社会公布审计结果。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区财政局要确保区财政投入的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公益慈善助学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资金及时到位。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区人大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、政协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、统战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退役军人事务局、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残联、总工会、妇联、团委等部门要认真协助区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公益慈善助学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协调小组办公室做好本线条有关助学活动的资金归口入帐、对象资格审查、助学资金发放等工作，并负责做好相关资助部门的解释、协调工作。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公益慈善助学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协调小组办公室要根据区直各参与助学单位、各街道的审核申报结果，负责拟出助学的建议名单报区协调小组审定。</w:t>
      </w:r>
    </w:p>
    <w:p>
      <w:pPr>
        <w:spacing w:line="560" w:lineRule="exact"/>
        <w:ind w:firstLine="640" w:firstLineChars="200"/>
        <w:rPr>
          <w:rFonts w:ascii="方正楷体简体" w:eastAsia="方正楷体简体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（三）建立长效机制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要通过建章立制，规范对象申请、审批、资金拨付、管理等各个环节的运作，逐步建立健全龙湖区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公益慈善助学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活动长效机制。同时要加强对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公益慈善助学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的档案管理，每年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公益慈善助学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活动后，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各主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办单位要及时将相关的活动情况总结和表格等资料送到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慈善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会存档备查。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本工作方案自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印发之日起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实行，由龙湖区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公益慈善助学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协调小组办公室负责解释。原《关于印发&lt;龙湖区助学育才工作方案&gt;的通知（修订版）》（汕龙办发〔201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号）同时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止。</w:t>
      </w:r>
    </w:p>
    <w:p>
      <w:pPr>
        <w:tabs>
          <w:tab w:val="left" w:pos="9000"/>
        </w:tabs>
        <w:spacing w:before="216" w:beforeLines="90" w:line="560" w:lineRule="exact"/>
        <w:ind w:right="-336" w:rightChars="-1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tabs>
          <w:tab w:val="left" w:pos="9000"/>
        </w:tabs>
        <w:spacing w:before="216" w:beforeLines="90" w:line="560" w:lineRule="exact"/>
        <w:ind w:right="-336" w:rightChars="-1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tabs>
          <w:tab w:val="left" w:pos="9000"/>
        </w:tabs>
        <w:spacing w:before="216" w:beforeLines="90" w:line="560" w:lineRule="exact"/>
        <w:ind w:right="-336" w:rightChars="-1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tabs>
          <w:tab w:val="left" w:pos="9000"/>
        </w:tabs>
        <w:spacing w:before="216" w:beforeLines="90" w:line="560" w:lineRule="exact"/>
        <w:ind w:right="-336" w:rightChars="-1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>
      <w:pPr>
        <w:tabs>
          <w:tab w:val="left" w:pos="9000"/>
        </w:tabs>
        <w:spacing w:before="216" w:beforeLines="90" w:line="560" w:lineRule="exact"/>
        <w:ind w:right="-336" w:rightChars="-1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2098" w:right="1474" w:bottom="1985" w:left="1531" w:header="851" w:footer="147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770" w:wrap="around" w:vAnchor="text" w:hAnchor="page" w:x="13232" w:y="37"/>
      <w:ind w:firstLine="280" w:firstLineChars="1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7</w:t>
    </w:r>
    <w:r>
      <w:rPr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</w:t>
    </w:r>
    <w:r>
      <w:rPr>
        <w:rStyle w:val="6"/>
        <w:rFonts w:hint="eastAsia" w:ascii="宋体" w:hAnsi="宋体"/>
        <w:sz w:val="28"/>
        <w:szCs w:val="28"/>
      </w:rPr>
      <w:t xml:space="preserve"> —  </w:t>
    </w:r>
  </w:p>
  <w:p>
    <w:pPr>
      <w:pStyle w:val="2"/>
      <w:ind w:right="360" w:firstLine="7140" w:firstLineChars="2550"/>
    </w:pPr>
    <w:r>
      <w:rPr>
        <w:rStyle w:val="6"/>
        <w:rFonts w:hint="eastAsia" w:ascii="宋体" w:hAnsi="宋体"/>
        <w:sz w:val="28"/>
        <w:szCs w:val="28"/>
      </w:rPr>
      <w:t xml:space="preserve">— 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7</w:t>
    </w:r>
    <w:r>
      <w:rPr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</w:t>
    </w:r>
    <w:r>
      <w:rPr>
        <w:rStyle w:val="6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2356" w:wrap="around" w:vAnchor="text" w:hAnchor="page" w:x="1516" w:y="15"/>
      <w:ind w:firstLine="420" w:firstLineChars="15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</w:t>
    </w:r>
    <w:r>
      <w:rPr>
        <w:rStyle w:val="6"/>
        <w:rFonts w:hint="eastAsia" w:ascii="宋体" w:hAnsi="宋体"/>
        <w:sz w:val="28"/>
        <w:szCs w:val="28"/>
      </w:rPr>
      <w:t xml:space="preserve"> —  </w:t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YzNlMmU3ZGIyZTYyNzFlNjhhMjEwMzE5MDM4YjYifQ=="/>
  </w:docVars>
  <w:rsids>
    <w:rsidRoot w:val="00000000"/>
    <w:rsid w:val="322A205C"/>
    <w:rsid w:val="33B1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2022-07-21T03:23:00Z</dcterms:created>
  <dc:creator>L308</dc:creator>
  <cp:lastModifiedBy>mzz</cp:lastModifiedBy>
  <dcterms:modified xsi:type="dcterms:W3CDTF">2022-07-21T03:49:36Z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18EE6E45F3FA4BC082FECD0E103B68F6</vt:lpwstr>
  </property>
</Properties>
</file>