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w:t>
      </w:r>
      <w:r>
        <w:rPr>
          <w:rFonts w:hint="eastAsia" w:ascii="方正小标宋简体" w:hAnsi="方正小标宋简体" w:eastAsia="方正小标宋简体" w:cs="方正小标宋简体"/>
          <w:sz w:val="44"/>
          <w:szCs w:val="44"/>
          <w:lang w:eastAsia="zh-CN"/>
        </w:rPr>
        <w:t>市龙湖区</w:t>
      </w:r>
      <w:r>
        <w:rPr>
          <w:rFonts w:hint="eastAsia" w:ascii="方正小标宋简体" w:hAnsi="方正小标宋简体" w:eastAsia="方正小标宋简体" w:cs="方正小标宋简体"/>
          <w:sz w:val="44"/>
          <w:szCs w:val="44"/>
        </w:rPr>
        <w:t>老年人居家适老化改造实施方案</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lang w:eastAsia="zh-CN"/>
        </w:rPr>
        <w:t>为</w:t>
      </w:r>
      <w:bookmarkStart w:id="1" w:name="_GoBack"/>
      <w:bookmarkEnd w:id="1"/>
      <w:r>
        <w:rPr>
          <w:rFonts w:hint="eastAsia" w:ascii="仿宋_GB2312" w:hAnsi="仿宋"/>
          <w:color w:val="333333"/>
          <w:kern w:val="0"/>
          <w:sz w:val="32"/>
          <w:szCs w:val="22"/>
          <w:shd w:val="clear" w:color="000000" w:fill="FFFFFF"/>
        </w:rPr>
        <w:t>贯彻落实《国务院办公厅关于推进养老服务发展的意见》（国办发〔2019〕5号）</w:t>
      </w:r>
      <w:r>
        <w:rPr>
          <w:rFonts w:hint="eastAsia" w:ascii="仿宋_GB2312" w:hAnsi="仿宋"/>
          <w:color w:val="333333"/>
          <w:kern w:val="0"/>
          <w:sz w:val="32"/>
          <w:szCs w:val="22"/>
          <w:shd w:val="clear" w:color="000000" w:fill="FFFFFF"/>
          <w:lang w:eastAsia="zh-CN"/>
        </w:rPr>
        <w:t>、广东省民政厅等九部门</w:t>
      </w:r>
      <w:r>
        <w:rPr>
          <w:rFonts w:hint="eastAsia" w:ascii="仿宋_GB2312" w:hAnsi="仿宋"/>
          <w:color w:val="333333"/>
          <w:sz w:val="32"/>
          <w:shd w:val="clear" w:color="000000" w:fill="FFFFFF"/>
        </w:rPr>
        <w:t>《关于做好老年人居家适老化改造工作的通</w:t>
      </w:r>
      <w:r>
        <w:rPr>
          <w:rFonts w:hint="eastAsia" w:ascii="仿宋_GB2312" w:hAnsi="仿宋"/>
          <w:color w:val="333333"/>
          <w:sz w:val="32"/>
          <w:szCs w:val="22"/>
          <w:shd w:val="clear" w:color="000000" w:fill="FFFFFF"/>
        </w:rPr>
        <w:t>知》（粤民发</w:t>
      </w:r>
      <w:r>
        <w:rPr>
          <w:rFonts w:hint="eastAsia" w:ascii="仿宋_GB2312" w:hAnsi="仿宋"/>
          <w:color w:val="333333"/>
          <w:kern w:val="0"/>
          <w:sz w:val="32"/>
          <w:szCs w:val="22"/>
          <w:shd w:val="clear" w:color="000000" w:fill="FFFFFF"/>
        </w:rPr>
        <w:t>〔2020〕1</w:t>
      </w:r>
      <w:r>
        <w:rPr>
          <w:rFonts w:hint="eastAsia" w:ascii="仿宋_GB2312"/>
          <w:color w:val="333333"/>
          <w:sz w:val="32"/>
          <w:szCs w:val="22"/>
          <w:shd w:val="clear" w:color="000000" w:fill="FFFFFF"/>
        </w:rPr>
        <w:t>51</w:t>
      </w:r>
      <w:r>
        <w:rPr>
          <w:rFonts w:hint="eastAsia" w:ascii="仿宋_GB2312" w:hAnsi="仿宋"/>
          <w:color w:val="333333"/>
          <w:sz w:val="32"/>
          <w:szCs w:val="22"/>
          <w:shd w:val="clear" w:color="000000" w:fill="FFFFFF"/>
        </w:rPr>
        <w:t>号）</w:t>
      </w:r>
      <w:r>
        <w:rPr>
          <w:rFonts w:hint="eastAsia" w:ascii="仿宋_GB2312" w:hAnsi="仿宋"/>
          <w:color w:val="333333"/>
          <w:sz w:val="32"/>
          <w:szCs w:val="22"/>
          <w:shd w:val="clear" w:color="000000" w:fill="FFFFFF"/>
          <w:lang w:eastAsia="zh-CN"/>
        </w:rPr>
        <w:t>和</w:t>
      </w:r>
      <w:r>
        <w:rPr>
          <w:rFonts w:hint="eastAsia" w:ascii="仿宋_GB2312" w:hAnsi="仿宋"/>
          <w:color w:val="333333"/>
          <w:kern w:val="0"/>
          <w:sz w:val="32"/>
          <w:szCs w:val="22"/>
          <w:shd w:val="clear" w:color="000000" w:fill="FFFFFF"/>
        </w:rPr>
        <w:t>《汕头市老年人居家适老化改造实施方案》</w:t>
      </w:r>
      <w:r>
        <w:rPr>
          <w:rFonts w:hint="eastAsia" w:ascii="仿宋_GB2312" w:hAnsi="仿宋"/>
          <w:color w:val="333333"/>
          <w:kern w:val="0"/>
          <w:sz w:val="32"/>
          <w:szCs w:val="22"/>
          <w:shd w:val="clear" w:color="000000" w:fill="FFFFFF"/>
          <w:lang w:eastAsia="zh-CN"/>
        </w:rPr>
        <w:t>（</w:t>
      </w:r>
      <w:r>
        <w:rPr>
          <w:rFonts w:hint="eastAsia" w:ascii="仿宋_GB2312" w:hAnsi="仿宋"/>
          <w:color w:val="333333"/>
          <w:kern w:val="0"/>
          <w:sz w:val="32"/>
          <w:szCs w:val="22"/>
          <w:shd w:val="clear" w:color="000000" w:fill="FFFFFF"/>
        </w:rPr>
        <w:t>汕民</w:t>
      </w:r>
      <w:r>
        <w:rPr>
          <w:rFonts w:hint="eastAsia" w:ascii="仿宋_GB2312" w:hAnsi="仿宋"/>
          <w:color w:val="333333"/>
          <w:kern w:val="0"/>
          <w:sz w:val="32"/>
          <w:szCs w:val="22"/>
          <w:shd w:val="clear" w:color="000000" w:fill="FFFFFF"/>
          <w:lang w:eastAsia="zh-CN"/>
        </w:rPr>
        <w:t>通</w:t>
      </w:r>
      <w:r>
        <w:rPr>
          <w:rFonts w:hint="eastAsia" w:ascii="仿宋_GB2312" w:hAnsi="仿宋"/>
          <w:color w:val="333333"/>
          <w:kern w:val="0"/>
          <w:sz w:val="32"/>
          <w:szCs w:val="22"/>
          <w:shd w:val="clear" w:color="000000" w:fill="FFFFFF"/>
        </w:rPr>
        <w:t>〔2021〕</w:t>
      </w:r>
      <w:r>
        <w:rPr>
          <w:rFonts w:hint="eastAsia" w:ascii="仿宋_GB2312" w:hAnsi="仿宋"/>
          <w:color w:val="333333"/>
          <w:kern w:val="0"/>
          <w:sz w:val="32"/>
          <w:szCs w:val="22"/>
          <w:shd w:val="clear" w:color="000000" w:fill="FFFFFF"/>
          <w:lang w:val="en-US" w:eastAsia="zh-CN"/>
        </w:rPr>
        <w:t>51</w:t>
      </w:r>
      <w:r>
        <w:rPr>
          <w:rFonts w:hint="eastAsia" w:ascii="仿宋_GB2312" w:hAnsi="仿宋"/>
          <w:color w:val="333333"/>
          <w:kern w:val="0"/>
          <w:sz w:val="32"/>
          <w:szCs w:val="22"/>
          <w:shd w:val="clear" w:color="000000" w:fill="FFFFFF"/>
        </w:rPr>
        <w:t>号</w:t>
      </w:r>
      <w:r>
        <w:rPr>
          <w:rFonts w:hint="eastAsia" w:ascii="仿宋_GB2312" w:hAnsi="仿宋"/>
          <w:color w:val="333333"/>
          <w:kern w:val="0"/>
          <w:sz w:val="32"/>
          <w:szCs w:val="22"/>
          <w:shd w:val="clear" w:color="000000" w:fill="FFFFFF"/>
          <w:lang w:eastAsia="zh-CN"/>
        </w:rPr>
        <w:t>）</w:t>
      </w:r>
      <w:r>
        <w:rPr>
          <w:rFonts w:hint="eastAsia" w:ascii="仿宋_GB2312" w:hAnsi="仿宋"/>
          <w:color w:val="333333"/>
          <w:kern w:val="0"/>
          <w:sz w:val="32"/>
          <w:szCs w:val="22"/>
          <w:shd w:val="clear" w:color="000000" w:fill="FFFFFF"/>
        </w:rPr>
        <w:t>等文件部署要求，积极应对人口老龄化的挑战，帮助我</w:t>
      </w:r>
      <w:r>
        <w:rPr>
          <w:rFonts w:hint="eastAsia" w:ascii="仿宋_GB2312" w:hAnsi="仿宋"/>
          <w:color w:val="333333"/>
          <w:kern w:val="0"/>
          <w:sz w:val="32"/>
          <w:szCs w:val="22"/>
          <w:shd w:val="clear" w:color="000000" w:fill="FFFFFF"/>
          <w:lang w:eastAsia="zh-CN"/>
        </w:rPr>
        <w:t>区</w:t>
      </w:r>
      <w:r>
        <w:rPr>
          <w:rFonts w:hint="eastAsia" w:ascii="仿宋_GB2312" w:hAnsi="仿宋"/>
          <w:color w:val="333333"/>
          <w:kern w:val="0"/>
          <w:sz w:val="32"/>
          <w:szCs w:val="22"/>
          <w:shd w:val="clear" w:color="000000" w:fill="FFFFFF"/>
        </w:rPr>
        <w:t>困难老年人家庭改善居住条件和生活质量，打造我</w:t>
      </w:r>
      <w:r>
        <w:rPr>
          <w:rFonts w:hint="eastAsia" w:ascii="仿宋_GB2312" w:hAnsi="仿宋"/>
          <w:color w:val="333333"/>
          <w:kern w:val="0"/>
          <w:sz w:val="32"/>
          <w:szCs w:val="22"/>
          <w:shd w:val="clear" w:color="000000" w:fill="FFFFFF"/>
          <w:lang w:eastAsia="zh-CN"/>
        </w:rPr>
        <w:t>区</w:t>
      </w:r>
      <w:r>
        <w:rPr>
          <w:rFonts w:hint="eastAsia" w:ascii="仿宋_GB2312" w:hAnsi="仿宋"/>
          <w:color w:val="333333"/>
          <w:kern w:val="0"/>
          <w:sz w:val="32"/>
          <w:szCs w:val="22"/>
          <w:shd w:val="clear" w:color="000000" w:fill="FFFFFF"/>
        </w:rPr>
        <w:t>家庭养老（照护）床位，决定对全</w:t>
      </w:r>
      <w:r>
        <w:rPr>
          <w:rFonts w:hint="eastAsia" w:ascii="仿宋_GB2312" w:hAnsi="仿宋"/>
          <w:color w:val="333333"/>
          <w:kern w:val="0"/>
          <w:sz w:val="32"/>
          <w:szCs w:val="22"/>
          <w:shd w:val="clear" w:color="000000" w:fill="FFFFFF"/>
          <w:lang w:eastAsia="zh-CN"/>
        </w:rPr>
        <w:t>区特殊困难</w:t>
      </w:r>
      <w:r>
        <w:rPr>
          <w:rFonts w:hint="eastAsia" w:ascii="仿宋_GB2312" w:hAnsi="仿宋"/>
          <w:color w:val="333333"/>
          <w:kern w:val="0"/>
          <w:sz w:val="32"/>
          <w:szCs w:val="22"/>
          <w:shd w:val="clear" w:color="000000" w:fill="FFFFFF"/>
        </w:rPr>
        <w:t xml:space="preserve">老年人家庭进行居家适老化改造（以下简称适老化改造），具体方案如下: </w:t>
      </w:r>
    </w:p>
    <w:p>
      <w:pPr>
        <w:widowControl/>
        <w:spacing w:line="560" w:lineRule="exact"/>
        <w:ind w:firstLine="640" w:firstLineChars="200"/>
        <w:jc w:val="left"/>
        <w:rPr>
          <w:rFonts w:hint="eastAsia" w:ascii="黑体" w:hAnsi="黑体" w:eastAsia="黑体" w:cs="黑体"/>
          <w:color w:val="333333"/>
          <w:kern w:val="0"/>
          <w:sz w:val="32"/>
          <w:szCs w:val="22"/>
          <w:shd w:val="clear" w:color="000000" w:fill="FFFFFF"/>
        </w:rPr>
      </w:pPr>
      <w:r>
        <w:rPr>
          <w:rFonts w:hint="eastAsia" w:ascii="黑体" w:hAnsi="黑体" w:eastAsia="黑体" w:cs="黑体"/>
          <w:color w:val="333333"/>
          <w:kern w:val="0"/>
          <w:sz w:val="32"/>
          <w:szCs w:val="22"/>
          <w:shd w:val="clear" w:color="000000" w:fill="FFFFFF"/>
        </w:rPr>
        <w:t>一、总体目标</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自2021年起，采取政府补贴等方式，为全</w:t>
      </w:r>
      <w:r>
        <w:rPr>
          <w:rFonts w:hint="eastAsia" w:ascii="仿宋_GB2312" w:hAnsi="仿宋"/>
          <w:color w:val="333333"/>
          <w:kern w:val="0"/>
          <w:sz w:val="32"/>
          <w:szCs w:val="22"/>
          <w:shd w:val="clear" w:color="000000" w:fill="FFFFFF"/>
          <w:lang w:eastAsia="zh-CN"/>
        </w:rPr>
        <w:t>区</w:t>
      </w:r>
      <w:r>
        <w:rPr>
          <w:rFonts w:hint="eastAsia" w:ascii="仿宋_GB2312" w:hAnsi="仿宋"/>
          <w:color w:val="333333"/>
          <w:kern w:val="0"/>
          <w:sz w:val="32"/>
          <w:szCs w:val="22"/>
          <w:shd w:val="clear" w:color="000000" w:fill="FFFFFF"/>
        </w:rPr>
        <w:t>纳入分散供养特困人员的高龄、失能、残疾老年人（以下统称“特殊困难老年人”）家庭实施居家适老化改造工作。“十四五”期间，持续实施特殊困难老年人家庭适老化改造，可将改造对象范围扩大到建档立卡人员和边缘监测对象、城乡低保对象中的高龄、失能、残疾老年人家庭等。</w:t>
      </w:r>
    </w:p>
    <w:p>
      <w:pPr>
        <w:widowControl/>
        <w:spacing w:line="560" w:lineRule="exact"/>
        <w:ind w:firstLine="640" w:firstLineChars="200"/>
        <w:jc w:val="left"/>
        <w:rPr>
          <w:rFonts w:hint="eastAsia" w:ascii="黑体" w:hAnsi="黑体" w:eastAsia="黑体" w:cs="黑体"/>
          <w:color w:val="333333"/>
          <w:kern w:val="0"/>
          <w:sz w:val="32"/>
          <w:szCs w:val="22"/>
          <w:shd w:val="clear" w:color="000000" w:fill="FFFFFF"/>
        </w:rPr>
      </w:pPr>
      <w:r>
        <w:rPr>
          <w:rFonts w:hint="eastAsia" w:ascii="黑体" w:hAnsi="黑体" w:eastAsia="黑体" w:cs="黑体"/>
          <w:color w:val="333333"/>
          <w:kern w:val="0"/>
          <w:sz w:val="32"/>
          <w:szCs w:val="22"/>
          <w:shd w:val="clear" w:color="000000" w:fill="FFFFFF"/>
        </w:rPr>
        <w:t>二、基本原则</w:t>
      </w:r>
    </w:p>
    <w:p>
      <w:pPr>
        <w:widowControl/>
        <w:spacing w:line="560" w:lineRule="exact"/>
        <w:ind w:firstLine="643" w:firstLineChars="200"/>
        <w:jc w:val="left"/>
        <w:rPr>
          <w:rFonts w:hint="eastAsia" w:ascii="仿宋_GB2312" w:hAnsi="仿宋" w:eastAsia="仿宋_GB2312"/>
          <w:color w:val="333333"/>
          <w:kern w:val="0"/>
          <w:sz w:val="32"/>
          <w:szCs w:val="22"/>
          <w:shd w:val="clear" w:color="000000" w:fill="FFFFFF"/>
          <w:lang w:eastAsia="zh-CN"/>
        </w:rPr>
      </w:pPr>
      <w:r>
        <w:rPr>
          <w:rFonts w:hint="eastAsia" w:ascii="楷体_GB2312" w:hAnsi="仿宋" w:eastAsia="楷体_GB2312"/>
          <w:b/>
          <w:color w:val="333333"/>
          <w:kern w:val="0"/>
          <w:sz w:val="32"/>
          <w:szCs w:val="22"/>
          <w:shd w:val="clear" w:color="000000" w:fill="FFFFFF"/>
        </w:rPr>
        <w:t>（一）因地制宜原则。</w:t>
      </w:r>
      <w:r>
        <w:rPr>
          <w:rFonts w:hint="eastAsia" w:ascii="仿宋_GB2312" w:hAnsi="仿宋"/>
          <w:color w:val="333333"/>
          <w:kern w:val="0"/>
          <w:sz w:val="32"/>
          <w:szCs w:val="22"/>
          <w:shd w:val="clear" w:color="000000" w:fill="FFFFFF"/>
          <w:lang w:eastAsia="zh-CN"/>
        </w:rPr>
        <w:t>区民政局要综合考虑老年人口结构、房屋结构等因素，计划年度改造户数，各街道要动员鼓励符合要求对象参与，因地制宜加快推进改造工作。</w:t>
      </w:r>
    </w:p>
    <w:p>
      <w:pPr>
        <w:widowControl/>
        <w:spacing w:line="560" w:lineRule="exact"/>
        <w:ind w:firstLine="643" w:firstLineChars="200"/>
        <w:jc w:val="left"/>
        <w:rPr>
          <w:rFonts w:hint="eastAsia" w:ascii="仿宋_GB2312" w:hAnsi="仿宋"/>
          <w:color w:val="333333"/>
          <w:kern w:val="0"/>
          <w:sz w:val="32"/>
          <w:szCs w:val="22"/>
          <w:shd w:val="clear" w:color="000000" w:fill="FFFFFF"/>
          <w:lang w:eastAsia="zh-CN"/>
        </w:rPr>
      </w:pPr>
      <w:r>
        <w:rPr>
          <w:rFonts w:hint="eastAsia" w:ascii="楷体_GB2312" w:hAnsi="仿宋" w:eastAsia="楷体_GB2312"/>
          <w:b/>
          <w:color w:val="333333"/>
          <w:kern w:val="0"/>
          <w:sz w:val="32"/>
          <w:szCs w:val="22"/>
          <w:shd w:val="clear" w:color="000000" w:fill="FFFFFF"/>
        </w:rPr>
        <w:t>（二）需求导向原则。</w:t>
      </w:r>
      <w:r>
        <w:rPr>
          <w:rFonts w:hint="eastAsia" w:ascii="仿宋_GB2312" w:hAnsi="仿宋"/>
          <w:color w:val="333333"/>
          <w:kern w:val="0"/>
          <w:sz w:val="32"/>
          <w:szCs w:val="22"/>
          <w:shd w:val="clear" w:color="000000" w:fill="FFFFFF"/>
          <w:lang w:eastAsia="zh-CN"/>
        </w:rPr>
        <w:t>居家适老化改造应由老年人及其家庭成员或监护人自愿申请，坚持基础保底、自愿选择、一户一档的原则，根据老年人实际需求和评估情况等因素确定改造方案。以满足居家生活照料、起居行走、康复护理等基础需求为核心，改善居家生活照护条件，增强居家生活设施设备的安全性、便利性和舒适性。</w:t>
      </w:r>
    </w:p>
    <w:p>
      <w:pPr>
        <w:widowControl/>
        <w:spacing w:line="560" w:lineRule="exact"/>
        <w:ind w:firstLine="643" w:firstLineChars="200"/>
        <w:jc w:val="left"/>
        <w:rPr>
          <w:rFonts w:hint="eastAsia" w:ascii="仿宋_GB2312" w:hAnsi="仿宋"/>
          <w:color w:val="333333"/>
          <w:kern w:val="0"/>
          <w:sz w:val="32"/>
          <w:szCs w:val="22"/>
          <w:shd w:val="clear" w:color="000000" w:fill="FFFFFF"/>
          <w:lang w:eastAsia="zh-CN"/>
        </w:rPr>
      </w:pPr>
      <w:r>
        <w:rPr>
          <w:rFonts w:hint="eastAsia" w:ascii="楷体_GB2312" w:hAnsi="仿宋" w:eastAsia="楷体_GB2312"/>
          <w:b/>
          <w:color w:val="333333"/>
          <w:kern w:val="0"/>
          <w:sz w:val="32"/>
          <w:szCs w:val="22"/>
          <w:shd w:val="clear" w:color="000000" w:fill="FFFFFF"/>
        </w:rPr>
        <w:t>（三）公开公正原则。</w:t>
      </w:r>
      <w:r>
        <w:rPr>
          <w:rFonts w:hint="eastAsia" w:ascii="仿宋_GB2312" w:hAnsi="仿宋"/>
          <w:color w:val="333333"/>
          <w:kern w:val="0"/>
          <w:sz w:val="32"/>
          <w:szCs w:val="22"/>
          <w:shd w:val="clear" w:color="000000" w:fill="FFFFFF"/>
          <w:lang w:eastAsia="zh-CN"/>
        </w:rPr>
        <w:t>居家适老化改造以统一、公开、透明的区场准入机制，按照相关规定择优确定适老化改造服务机构。适老化改造要规范改造程序，严把改造质量，防止改造偷工减料，确保结果公平，达到提升老年人生活自理能力和居家生活品质的预期效果。</w:t>
      </w:r>
    </w:p>
    <w:p>
      <w:pPr>
        <w:widowControl/>
        <w:spacing w:line="560" w:lineRule="exact"/>
        <w:ind w:firstLine="643" w:firstLineChars="200"/>
        <w:jc w:val="left"/>
        <w:rPr>
          <w:rFonts w:hint="eastAsia" w:ascii="仿宋_GB2312" w:hAnsi="仿宋"/>
          <w:color w:val="333333"/>
          <w:kern w:val="0"/>
          <w:sz w:val="32"/>
          <w:szCs w:val="22"/>
          <w:shd w:val="clear" w:color="000000" w:fill="FFFFFF"/>
          <w:lang w:eastAsia="zh-CN"/>
        </w:rPr>
      </w:pPr>
      <w:r>
        <w:rPr>
          <w:rFonts w:hint="eastAsia" w:ascii="楷体_GB2312" w:hAnsi="仿宋" w:eastAsia="楷体_GB2312"/>
          <w:b/>
          <w:color w:val="333333"/>
          <w:kern w:val="0"/>
          <w:sz w:val="32"/>
          <w:szCs w:val="22"/>
          <w:shd w:val="clear" w:color="000000" w:fill="FFFFFF"/>
        </w:rPr>
        <w:t>（四）制度衔接原则。</w:t>
      </w:r>
      <w:r>
        <w:rPr>
          <w:rFonts w:hint="eastAsia" w:ascii="仿宋_GB2312" w:hAnsi="仿宋"/>
          <w:color w:val="333333"/>
          <w:kern w:val="0"/>
          <w:sz w:val="32"/>
          <w:szCs w:val="22"/>
          <w:shd w:val="clear" w:color="000000" w:fill="FFFFFF"/>
          <w:lang w:eastAsia="zh-CN"/>
        </w:rPr>
        <w:t>加强部门协作配合，做好居家适老化改造和城镇老旧小区改造等工作的统筹衔接，改善老年人住房内外的生活环境。</w:t>
      </w:r>
    </w:p>
    <w:p>
      <w:pPr>
        <w:widowControl/>
        <w:spacing w:line="560" w:lineRule="exact"/>
        <w:ind w:firstLine="640" w:firstLineChars="200"/>
        <w:jc w:val="left"/>
        <w:rPr>
          <w:rFonts w:hint="eastAsia" w:ascii="黑体" w:hAnsi="黑体" w:eastAsia="黑体" w:cs="黑体"/>
          <w:color w:val="333333"/>
          <w:kern w:val="0"/>
          <w:sz w:val="32"/>
          <w:szCs w:val="22"/>
          <w:shd w:val="clear" w:color="000000" w:fill="FFFFFF"/>
        </w:rPr>
      </w:pPr>
      <w:r>
        <w:rPr>
          <w:rFonts w:hint="eastAsia" w:ascii="黑体" w:hAnsi="黑体" w:eastAsia="黑体" w:cs="黑体"/>
          <w:color w:val="333333"/>
          <w:kern w:val="0"/>
          <w:sz w:val="32"/>
          <w:szCs w:val="22"/>
          <w:shd w:val="clear" w:color="000000" w:fill="FFFFFF"/>
        </w:rPr>
        <w:t>三、改造内容</w:t>
      </w:r>
    </w:p>
    <w:p>
      <w:pPr>
        <w:widowControl/>
        <w:spacing w:line="560" w:lineRule="exact"/>
        <w:ind w:firstLine="643" w:firstLineChars="200"/>
        <w:jc w:val="left"/>
        <w:rPr>
          <w:rFonts w:hint="eastAsia" w:ascii="仿宋_GB2312" w:hAnsi="仿宋"/>
          <w:color w:val="333333"/>
          <w:kern w:val="0"/>
          <w:sz w:val="32"/>
          <w:szCs w:val="22"/>
          <w:shd w:val="clear" w:color="000000" w:fill="FFFFFF"/>
          <w:lang w:eastAsia="zh-CN"/>
        </w:rPr>
      </w:pPr>
      <w:r>
        <w:rPr>
          <w:rFonts w:hint="eastAsia" w:ascii="楷体_GB2312" w:hAnsi="仿宋" w:eastAsia="楷体_GB2312"/>
          <w:b/>
          <w:color w:val="333333"/>
          <w:kern w:val="0"/>
          <w:sz w:val="32"/>
          <w:szCs w:val="22"/>
          <w:shd w:val="clear" w:color="000000" w:fill="FFFFFF"/>
        </w:rPr>
        <w:t>（一）实施对象。</w:t>
      </w:r>
      <w:r>
        <w:rPr>
          <w:rFonts w:hint="eastAsia" w:ascii="仿宋_GB2312" w:hAnsi="仿宋"/>
          <w:color w:val="333333"/>
          <w:kern w:val="0"/>
          <w:sz w:val="32"/>
          <w:szCs w:val="22"/>
          <w:shd w:val="clear" w:color="000000" w:fill="FFFFFF"/>
          <w:lang w:eastAsia="zh-CN"/>
        </w:rPr>
        <w:t>本实施方案面向本区户籍人口，按政府兜底保障类型分以下两类：</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w:t>
      </w:r>
      <w:r>
        <w:rPr>
          <w:rFonts w:hint="eastAsia" w:ascii="仿宋_GB2312" w:hAnsi="仿宋"/>
          <w:color w:val="333333"/>
          <w:kern w:val="0"/>
          <w:sz w:val="32"/>
          <w:szCs w:val="22"/>
          <w:shd w:val="clear" w:color="000000" w:fill="FFFFFF"/>
          <w:lang w:eastAsia="zh-CN"/>
        </w:rPr>
        <w:t>一类对象：分散供养特困和建档立卡已脱贫户对象中的高龄（年满80周岁以上）、失能和残疾老年人；</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rPr>
        <w:t>2.</w:t>
      </w:r>
      <w:r>
        <w:rPr>
          <w:rFonts w:hint="eastAsia" w:ascii="仿宋_GB2312" w:hAnsi="仿宋"/>
          <w:color w:val="333333"/>
          <w:kern w:val="0"/>
          <w:sz w:val="32"/>
          <w:szCs w:val="22"/>
          <w:shd w:val="clear" w:color="000000" w:fill="FFFFFF"/>
          <w:lang w:eastAsia="zh-CN"/>
        </w:rPr>
        <w:t>二类对象：边缘易致贫对象和城乡低保家庭中的高龄（年满80周岁以上）、失能和残疾的老年人。</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在满足一类对象改造需求的前提下，可根据实际将实施对象向二类对象扩展，其中伤残、独居、孤寡、计划生育特殊家庭中的老人予以优先。</w:t>
      </w:r>
    </w:p>
    <w:p>
      <w:pPr>
        <w:widowControl/>
        <w:spacing w:line="560" w:lineRule="exact"/>
        <w:ind w:firstLine="643" w:firstLineChars="200"/>
        <w:jc w:val="left"/>
        <w:rPr>
          <w:rFonts w:hint="eastAsia" w:ascii="仿宋" w:hAnsi="仿宋" w:eastAsia="仿宋"/>
          <w:color w:val="333333"/>
          <w:kern w:val="0"/>
          <w:sz w:val="32"/>
          <w:szCs w:val="22"/>
          <w:shd w:val="clear" w:color="000000" w:fill="FFFFFF"/>
        </w:rPr>
      </w:pPr>
      <w:r>
        <w:rPr>
          <w:rFonts w:hint="eastAsia" w:ascii="楷体_GB2312" w:hAnsi="仿宋" w:eastAsia="楷体_GB2312"/>
          <w:b/>
          <w:color w:val="333333"/>
          <w:kern w:val="0"/>
          <w:sz w:val="32"/>
          <w:szCs w:val="22"/>
          <w:shd w:val="clear" w:color="000000" w:fill="FFFFFF"/>
        </w:rPr>
        <w:t>（二）改造项目。</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1.改造内容：参考《汕头市龙湖区老年人居家适老化改造项目清单》（详见附件一）及《无障碍设计规范》（GB50763-2012）等标准规范，根据老年人的安全、健康等功能性需求，针对不同场景居家环境，选择适配性产品，形成包括地面、门、卧室、如厕洗浴设备、厨房设备、物理环境以及老年用品配置等施工改造服务方案。</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2.改造类别：改造项目分为基础类和可选类。基础类项目是政府对特殊困难老年人家庭予以补助支持的改造项目和老年用品，是改造和配置的基本内容；可选类项目是根据老年人家庭意愿，供自主付费购买的适老化改造项目和老年用品。在制定改造方案时，可根据老年人实际需求，选择最需要的项目进行改造。如老年人家庭在实施基础类项目改造后核算的总费用未超过资助标准，可在资助标准内将可选类项目纳入补助范围。</w:t>
      </w:r>
    </w:p>
    <w:p>
      <w:pPr>
        <w:widowControl/>
        <w:spacing w:line="560" w:lineRule="exact"/>
        <w:ind w:firstLine="643" w:firstLineChars="200"/>
        <w:jc w:val="left"/>
        <w:rPr>
          <w:rFonts w:hint="eastAsia" w:ascii="仿宋" w:hAnsi="仿宋" w:eastAsia="仿宋"/>
          <w:color w:val="333333"/>
          <w:kern w:val="0"/>
          <w:sz w:val="32"/>
          <w:szCs w:val="22"/>
          <w:shd w:val="clear" w:color="000000" w:fill="FFFFFF"/>
        </w:rPr>
      </w:pPr>
      <w:r>
        <w:rPr>
          <w:rFonts w:hint="eastAsia" w:ascii="楷体_GB2312" w:hAnsi="仿宋" w:eastAsia="楷体_GB2312"/>
          <w:b/>
          <w:color w:val="333333"/>
          <w:kern w:val="0"/>
          <w:sz w:val="32"/>
          <w:szCs w:val="22"/>
          <w:shd w:val="clear" w:color="000000" w:fill="FFFFFF"/>
        </w:rPr>
        <w:t>（三）资助方式。</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1.资助标准：参与适老化改造的老年人家庭按每户上限5000元给予补贴。</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2.资助范围：如改造费用在资助标准内，由区民政局采取实报实销方式与改造服务机构结算；如改造费用高于资助标准，超出部分由服务对象及其家庭自行承担并直接与改造服务机构协议结付；一类服务对象可由区民政局根据资金使用和改造实际情况进行总量控制，局部调剂。</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3.资金来源：优先使用各级福利彩票公益金支持社会福利事业专项资金中用于老年人福利方面的资金后，不足部分再使用各级养老服务体系建设资金，用于特殊困难老年人家庭居家适老化改造。可鼓励和引导公益慈善组织、爱心社会力量，捐赠支持特殊困难老年人家庭适老化改造。</w:t>
      </w:r>
    </w:p>
    <w:p>
      <w:pPr>
        <w:widowControl/>
        <w:spacing w:line="560" w:lineRule="exact"/>
        <w:ind w:firstLine="643" w:firstLineChars="200"/>
        <w:jc w:val="left"/>
        <w:rPr>
          <w:rFonts w:hint="eastAsia" w:ascii="仿宋" w:hAnsi="仿宋" w:eastAsia="仿宋"/>
          <w:color w:val="333333"/>
          <w:kern w:val="0"/>
          <w:sz w:val="32"/>
          <w:szCs w:val="22"/>
          <w:shd w:val="clear" w:color="000000" w:fill="FFFFFF"/>
        </w:rPr>
      </w:pPr>
      <w:r>
        <w:rPr>
          <w:rFonts w:hint="eastAsia" w:ascii="楷体_GB2312" w:hAnsi="仿宋" w:eastAsia="楷体_GB2312"/>
          <w:b/>
          <w:color w:val="333333"/>
          <w:kern w:val="0"/>
          <w:sz w:val="32"/>
          <w:szCs w:val="22"/>
          <w:shd w:val="clear" w:color="000000" w:fill="FFFFFF"/>
        </w:rPr>
        <w:t>（四）实施要求。</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1.适老化改造以家庭为单位，改造对象家庭应对改造住房拥有产权或长期使用权，且近期没有纳入动拆迁规划；拟改造的住房应符合质量安全相关标准、具备基础改造条件。已进行贫困重度残疾人家庭无障碍改造的不再重复纳入此次对象范围。分散供养特困对象中的失能老年人，应优先鼓励进入养老机构集中供养，在确认其照料护理保障前提下方予申请。</w:t>
      </w:r>
    </w:p>
    <w:p>
      <w:pPr>
        <w:widowControl/>
        <w:spacing w:line="560" w:lineRule="exact"/>
        <w:ind w:firstLine="640" w:firstLineChars="200"/>
        <w:jc w:val="left"/>
        <w:rPr>
          <w:rFonts w:hint="eastAsia" w:ascii="仿宋_GB2312" w:hAnsi="仿宋"/>
          <w:color w:val="333333"/>
          <w:kern w:val="0"/>
          <w:sz w:val="32"/>
          <w:szCs w:val="22"/>
          <w:shd w:val="clear" w:color="000000" w:fill="FFFFFF"/>
          <w:lang w:eastAsia="zh-CN"/>
        </w:rPr>
      </w:pPr>
      <w:r>
        <w:rPr>
          <w:rFonts w:hint="eastAsia" w:ascii="仿宋_GB2312" w:hAnsi="仿宋"/>
          <w:color w:val="333333"/>
          <w:kern w:val="0"/>
          <w:sz w:val="32"/>
          <w:szCs w:val="22"/>
          <w:shd w:val="clear" w:color="000000" w:fill="FFFFFF"/>
          <w:lang w:eastAsia="zh-CN"/>
        </w:rPr>
        <w:t>2.接受适老化改造的家庭如需老年人迁出改造的，应有自行在他处临时过渡的条件和能力。分散供养特困对象及孤寡老人可由街道与区民政局协调安置在邻近的养老机构过渡。</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333333"/>
          <w:kern w:val="0"/>
          <w:sz w:val="32"/>
          <w:szCs w:val="22"/>
          <w:shd w:val="clear" w:color="000000" w:fill="FFFFFF"/>
          <w:lang w:eastAsia="zh-CN"/>
        </w:rPr>
        <w:t>3.关于“失能”的标准，未能开展老年人能力评估评定的地方可参照《广东省民政厅关于做好特困供养人员照料护理工作有关事项的通知》（粤民函〔2019〕451号）中关于特困人员生活自理能力评估要求，按照直观、简便、易操作的原则开展入户评</w:t>
      </w:r>
      <w:r>
        <w:rPr>
          <w:rFonts w:hint="eastAsia" w:ascii="仿宋_GB2312" w:hAnsi="仿宋"/>
          <w:color w:val="333333"/>
          <w:kern w:val="0"/>
          <w:sz w:val="32"/>
          <w:szCs w:val="22"/>
          <w:shd w:val="clear" w:color="000000" w:fill="FFFFFF"/>
        </w:rPr>
        <w:t>估。</w:t>
      </w:r>
      <w:r>
        <w:rPr>
          <w:rFonts w:hint="eastAsia" w:ascii="仿宋_GB2312" w:hAnsi="仿宋"/>
          <w:color w:val="000000" w:themeColor="text1"/>
          <w:kern w:val="0"/>
          <w:sz w:val="32"/>
          <w:szCs w:val="22"/>
          <w:shd w:val="clear" w:color="000000" w:fill="FFFFFF"/>
          <w14:textFill>
            <w14:solidFill>
              <w14:schemeClr w14:val="tx1"/>
            </w14:solidFill>
          </w14:textFill>
        </w:rPr>
        <w:t xml:space="preserve">老年人能力评估结果非“能力完好”的、或老年人照顾需求等级在“照顾2级”以上的，以及按特困人员生活自理能力评估认定为“半失能”、“失能”的，其家庭均可列为“失能”老年人居家适老化改造对象。申请前一年内已接受过以上任意一项评估的，如健康状况无明显变化，可参考原评估结果，不再重复评估。 </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4.老年人居家适老化改造服务的承接机构应为依法登记、具有独立承担民事责任能力的社会组织、企事业单位或机构，应具备提供服务所必需的设备人员和专业技术能力，具有养老机构或家庭适老化改造、无障碍改造方案设计和施工管理经验的可予优先选择。</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5.做好档案管理工作。改造服务机构要对老年人居家适老化改造服务对象按户建立档案，确保每一个接受改造的家庭及时建立档案，每户老年人居家适老化改造对象的档案资料类别应包含：服务对象的申请资料；老年人居家适老化改造需求评估情况；经民政部门、服务对象确认的改造方案；改造前和改造后的对比照片（含电子版）；</w:t>
      </w:r>
      <w:bookmarkStart w:id="0" w:name="_Hlk64493176"/>
      <w:r>
        <w:rPr>
          <w:rFonts w:hint="eastAsia" w:ascii="仿宋_GB2312" w:hAnsi="仿宋"/>
          <w:color w:val="000000" w:themeColor="text1"/>
          <w:kern w:val="0"/>
          <w:sz w:val="32"/>
          <w:szCs w:val="22"/>
          <w:shd w:val="clear" w:color="000000" w:fill="FFFFFF"/>
          <w14:textFill>
            <w14:solidFill>
              <w14:schemeClr w14:val="tx1"/>
            </w14:solidFill>
          </w14:textFill>
        </w:rPr>
        <w:t>验收</w:t>
      </w:r>
      <w:bookmarkEnd w:id="0"/>
      <w:r>
        <w:rPr>
          <w:rFonts w:hint="eastAsia" w:ascii="仿宋_GB2312" w:hAnsi="仿宋"/>
          <w:color w:val="000000" w:themeColor="text1"/>
          <w:kern w:val="0"/>
          <w:sz w:val="32"/>
          <w:szCs w:val="22"/>
          <w:shd w:val="clear" w:color="000000" w:fill="FFFFFF"/>
          <w14:textFill>
            <w14:solidFill>
              <w14:schemeClr w14:val="tx1"/>
            </w14:solidFill>
          </w14:textFill>
        </w:rPr>
        <w:t>情况等相关基础资料。项目服务结束后，要及时将相关档案移交民政部门。</w:t>
      </w:r>
    </w:p>
    <w:p>
      <w:pPr>
        <w:widowControl/>
        <w:spacing w:line="560" w:lineRule="exact"/>
        <w:ind w:firstLine="640" w:firstLineChars="200"/>
        <w:jc w:val="left"/>
        <w:rPr>
          <w:rFonts w:hint="eastAsia" w:ascii="黑体" w:hAnsi="黑体" w:eastAsia="黑体" w:cs="黑体"/>
          <w:color w:val="000000" w:themeColor="text1"/>
          <w:kern w:val="0"/>
          <w:sz w:val="32"/>
          <w:szCs w:val="22"/>
          <w:shd w:val="clear" w:color="000000" w:fill="FFFFFF"/>
          <w14:textFill>
            <w14:solidFill>
              <w14:schemeClr w14:val="tx1"/>
            </w14:solidFill>
          </w14:textFill>
        </w:rPr>
      </w:pPr>
      <w:r>
        <w:rPr>
          <w:rFonts w:hint="eastAsia" w:ascii="黑体" w:hAnsi="黑体" w:eastAsia="黑体" w:cs="黑体"/>
          <w:color w:val="000000" w:themeColor="text1"/>
          <w:kern w:val="0"/>
          <w:sz w:val="32"/>
          <w:szCs w:val="22"/>
          <w:shd w:val="clear" w:color="000000" w:fill="FFFFFF"/>
          <w14:textFill>
            <w14:solidFill>
              <w14:schemeClr w14:val="tx1"/>
            </w14:solidFill>
          </w14:textFill>
        </w:rPr>
        <w:t>四、实施流程</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2021年为我</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区</w:t>
      </w:r>
      <w:r>
        <w:rPr>
          <w:rFonts w:hint="eastAsia" w:ascii="仿宋_GB2312" w:hAnsi="仿宋"/>
          <w:color w:val="000000" w:themeColor="text1"/>
          <w:kern w:val="0"/>
          <w:sz w:val="32"/>
          <w:szCs w:val="22"/>
          <w:shd w:val="clear" w:color="000000" w:fill="FFFFFF"/>
          <w14:textFill>
            <w14:solidFill>
              <w14:schemeClr w14:val="tx1"/>
            </w14:solidFill>
          </w14:textFill>
        </w:rPr>
        <w:t>首次开展老年人居家适老化改造工作，为稳健推进改造工作，本年度主要分四个阶段实施。</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第一阶段 确定主体（2021年</w:t>
      </w:r>
      <w:r>
        <w:rPr>
          <w:rFonts w:hint="eastAsia" w:ascii="仿宋_GB2312" w:hAnsi="仿宋"/>
          <w:color w:val="000000" w:themeColor="text1"/>
          <w:kern w:val="0"/>
          <w:sz w:val="32"/>
          <w:szCs w:val="22"/>
          <w:shd w:val="clear" w:color="000000" w:fill="FFFFFF"/>
          <w:lang w:val="en-US" w:eastAsia="zh-CN"/>
          <w14:textFill>
            <w14:solidFill>
              <w14:schemeClr w14:val="tx1"/>
            </w14:solidFill>
          </w14:textFill>
        </w:rPr>
        <w:t>4</w:t>
      </w:r>
      <w:r>
        <w:rPr>
          <w:rFonts w:hint="eastAsia" w:ascii="仿宋_GB2312" w:hAnsi="仿宋"/>
          <w:color w:val="000000" w:themeColor="text1"/>
          <w:kern w:val="0"/>
          <w:sz w:val="32"/>
          <w:szCs w:val="22"/>
          <w:shd w:val="clear" w:color="000000" w:fill="FFFFFF"/>
          <w14:textFill>
            <w14:solidFill>
              <w14:schemeClr w14:val="tx1"/>
            </w14:solidFill>
          </w14:textFill>
        </w:rPr>
        <w:t>月-6月）</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1.摸底评估：</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区民政局</w:t>
      </w:r>
      <w:r>
        <w:rPr>
          <w:rFonts w:hint="eastAsia" w:ascii="仿宋_GB2312" w:hAnsi="仿宋"/>
          <w:color w:val="000000" w:themeColor="text1"/>
          <w:kern w:val="0"/>
          <w:sz w:val="32"/>
          <w:szCs w:val="22"/>
          <w:shd w:val="clear" w:color="000000" w:fill="FFFFFF"/>
          <w14:textFill>
            <w14:solidFill>
              <w14:schemeClr w14:val="tx1"/>
            </w14:solidFill>
          </w14:textFill>
        </w:rPr>
        <w:t>组织就困难老年人适老化改造目标对象进行入户普查，摸底政府支持保障的特殊困难老年人家庭改造初步需求。</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2.改造筹备：</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区民政局</w:t>
      </w:r>
      <w:r>
        <w:rPr>
          <w:rFonts w:hint="eastAsia" w:ascii="仿宋_GB2312" w:hAnsi="仿宋"/>
          <w:color w:val="000000" w:themeColor="text1"/>
          <w:kern w:val="0"/>
          <w:sz w:val="32"/>
          <w:szCs w:val="22"/>
          <w:shd w:val="clear" w:color="000000" w:fill="FFFFFF"/>
          <w14:textFill>
            <w14:solidFill>
              <w14:schemeClr w14:val="tx1"/>
            </w14:solidFill>
          </w14:textFill>
        </w:rPr>
        <w:t>根据改造需求细化年度计划，制定本级实施方案，组织做好对象的申请受理、能力认定和资质审核工作，并依据相关规定选择适老化改造服务机构。</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3.宣传发动：</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各级民政部门</w:t>
      </w:r>
      <w:r>
        <w:rPr>
          <w:rFonts w:hint="eastAsia" w:ascii="仿宋_GB2312" w:hAnsi="仿宋"/>
          <w:color w:val="000000" w:themeColor="text1"/>
          <w:kern w:val="0"/>
          <w:sz w:val="32"/>
          <w:szCs w:val="22"/>
          <w:shd w:val="clear" w:color="000000" w:fill="FFFFFF"/>
          <w14:textFill>
            <w14:solidFill>
              <w14:schemeClr w14:val="tx1"/>
            </w14:solidFill>
          </w14:textFill>
        </w:rPr>
        <w:t>通过官网、微信公众号发布公告；借助各类媒体开展宣传；</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街道及</w:t>
      </w:r>
      <w:r>
        <w:rPr>
          <w:rFonts w:hint="eastAsia" w:ascii="仿宋_GB2312" w:hAnsi="仿宋"/>
          <w:color w:val="000000" w:themeColor="text1"/>
          <w:kern w:val="0"/>
          <w:sz w:val="32"/>
          <w:szCs w:val="22"/>
          <w:shd w:val="clear" w:color="000000" w:fill="FFFFFF"/>
          <w14:textFill>
            <w14:solidFill>
              <w14:schemeClr w14:val="tx1"/>
            </w14:solidFill>
          </w14:textFill>
        </w:rPr>
        <w:t>社区</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（村）</w:t>
      </w:r>
      <w:r>
        <w:rPr>
          <w:rFonts w:hint="eastAsia" w:ascii="仿宋_GB2312" w:hAnsi="仿宋"/>
          <w:color w:val="000000" w:themeColor="text1"/>
          <w:kern w:val="0"/>
          <w:sz w:val="32"/>
          <w:szCs w:val="22"/>
          <w:shd w:val="clear" w:color="000000" w:fill="FFFFFF"/>
          <w14:textFill>
            <w14:solidFill>
              <w14:schemeClr w14:val="tx1"/>
            </w14:solidFill>
          </w14:textFill>
        </w:rPr>
        <w:t>在做好政策宣传的同时，动员符合要求的对象提出申请。</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第二阶段 组织实施（2021年</w:t>
      </w:r>
      <w:r>
        <w:rPr>
          <w:rFonts w:hint="eastAsia" w:ascii="仿宋_GB2312" w:hAnsi="仿宋"/>
          <w:color w:val="000000" w:themeColor="text1"/>
          <w:kern w:val="0"/>
          <w:sz w:val="32"/>
          <w:szCs w:val="22"/>
          <w:shd w:val="clear" w:color="000000" w:fill="FFFFFF"/>
          <w:lang w:val="en-US" w:eastAsia="zh-CN"/>
          <w14:textFill>
            <w14:solidFill>
              <w14:schemeClr w14:val="tx1"/>
            </w14:solidFill>
          </w14:textFill>
        </w:rPr>
        <w:t>6</w:t>
      </w:r>
      <w:r>
        <w:rPr>
          <w:rFonts w:hint="eastAsia" w:ascii="仿宋_GB2312" w:hAnsi="仿宋"/>
          <w:color w:val="000000" w:themeColor="text1"/>
          <w:kern w:val="0"/>
          <w:sz w:val="32"/>
          <w:szCs w:val="22"/>
          <w:shd w:val="clear" w:color="000000" w:fill="FFFFFF"/>
          <w14:textFill>
            <w14:solidFill>
              <w14:schemeClr w14:val="tx1"/>
            </w14:solidFill>
          </w14:textFill>
        </w:rPr>
        <w:t>月-10月）</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1.确定方案：</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区民政局</w:t>
      </w:r>
      <w:r>
        <w:rPr>
          <w:rFonts w:hint="eastAsia" w:ascii="仿宋_GB2312" w:hAnsi="仿宋"/>
          <w:color w:val="000000" w:themeColor="text1"/>
          <w:kern w:val="0"/>
          <w:sz w:val="32"/>
          <w:szCs w:val="22"/>
          <w:shd w:val="clear" w:color="000000" w:fill="FFFFFF"/>
          <w14:textFill>
            <w14:solidFill>
              <w14:schemeClr w14:val="tx1"/>
            </w14:solidFill>
          </w14:textFill>
        </w:rPr>
        <w:t>组织改造服务机构开展适老化改造需求评估，根据入户调查、评估和设计确定改造方案。</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2.实施改造：</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区民政局</w:t>
      </w:r>
      <w:r>
        <w:rPr>
          <w:rFonts w:hint="eastAsia" w:ascii="仿宋_GB2312" w:hAnsi="仿宋"/>
          <w:color w:val="000000" w:themeColor="text1"/>
          <w:kern w:val="0"/>
          <w:sz w:val="32"/>
          <w:szCs w:val="22"/>
          <w:shd w:val="clear" w:color="000000" w:fill="FFFFFF"/>
          <w14:textFill>
            <w14:solidFill>
              <w14:schemeClr w14:val="tx1"/>
            </w14:solidFill>
          </w14:textFill>
        </w:rPr>
        <w:t>指导改造服务机构根据改造方案实施改造服务，实施留存改造信息、对比照，并逐户制作改造档案。</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各</w:t>
      </w:r>
      <w:r>
        <w:rPr>
          <w:rFonts w:hint="eastAsia" w:ascii="仿宋_GB2312" w:hAnsi="仿宋"/>
          <w:color w:val="000000" w:themeColor="text1"/>
          <w:kern w:val="0"/>
          <w:sz w:val="32"/>
          <w:szCs w:val="22"/>
          <w:shd w:val="clear" w:color="000000" w:fill="FFFFFF"/>
          <w14:textFill>
            <w14:solidFill>
              <w14:schemeClr w14:val="tx1"/>
            </w14:solidFill>
          </w14:textFill>
        </w:rPr>
        <w:t>街道要加强过程监督，落实专人负责施工管理，进行经常性巡查，发现问题及时整改，确保施工质量。</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第三阶段 验收总结（2021年1</w:t>
      </w:r>
      <w:r>
        <w:rPr>
          <w:rFonts w:hint="eastAsia" w:ascii="仿宋_GB2312" w:hAnsi="仿宋"/>
          <w:color w:val="000000" w:themeColor="text1"/>
          <w:kern w:val="0"/>
          <w:sz w:val="32"/>
          <w:szCs w:val="22"/>
          <w:shd w:val="clear" w:color="000000" w:fill="FFFFFF"/>
          <w:lang w:val="en-US" w:eastAsia="zh-CN"/>
          <w14:textFill>
            <w14:solidFill>
              <w14:schemeClr w14:val="tx1"/>
            </w14:solidFill>
          </w14:textFill>
        </w:rPr>
        <w:t>0</w:t>
      </w:r>
      <w:r>
        <w:rPr>
          <w:rFonts w:hint="eastAsia" w:ascii="仿宋_GB2312" w:hAnsi="仿宋"/>
          <w:color w:val="000000" w:themeColor="text1"/>
          <w:kern w:val="0"/>
          <w:sz w:val="32"/>
          <w:szCs w:val="22"/>
          <w:shd w:val="clear" w:color="000000" w:fill="FFFFFF"/>
          <w14:textFill>
            <w14:solidFill>
              <w14:schemeClr w14:val="tx1"/>
            </w14:solidFill>
          </w14:textFill>
        </w:rPr>
        <w:t>月-12月）</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1.检查验收。施工完成后，由</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各</w:t>
      </w:r>
      <w:r>
        <w:rPr>
          <w:rFonts w:hint="eastAsia" w:ascii="仿宋_GB2312" w:hAnsi="仿宋"/>
          <w:color w:val="000000" w:themeColor="text1"/>
          <w:kern w:val="0"/>
          <w:sz w:val="32"/>
          <w:szCs w:val="22"/>
          <w:shd w:val="clear" w:color="000000" w:fill="FFFFFF"/>
          <w14:textFill>
            <w14:solidFill>
              <w14:schemeClr w14:val="tx1"/>
            </w14:solidFill>
          </w14:textFill>
        </w:rPr>
        <w:t>街道初审验收，改造服务单位应逐户整理形成改造档案，报送区民政</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局</w:t>
      </w:r>
      <w:r>
        <w:rPr>
          <w:rFonts w:hint="eastAsia" w:ascii="仿宋_GB2312" w:hAnsi="仿宋"/>
          <w:color w:val="000000" w:themeColor="text1"/>
          <w:kern w:val="0"/>
          <w:sz w:val="32"/>
          <w:szCs w:val="22"/>
          <w:shd w:val="clear" w:color="000000" w:fill="FFFFFF"/>
          <w14:textFill>
            <w14:solidFill>
              <w14:schemeClr w14:val="tx1"/>
            </w14:solidFill>
          </w14:textFill>
        </w:rPr>
        <w:t>。区民政</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局</w:t>
      </w:r>
      <w:r>
        <w:rPr>
          <w:rFonts w:hint="eastAsia" w:ascii="仿宋_GB2312" w:hAnsi="仿宋"/>
          <w:color w:val="000000" w:themeColor="text1"/>
          <w:kern w:val="0"/>
          <w:sz w:val="32"/>
          <w:szCs w:val="22"/>
          <w:shd w:val="clear" w:color="000000" w:fill="FFFFFF"/>
          <w14:textFill>
            <w14:solidFill>
              <w14:schemeClr w14:val="tx1"/>
            </w14:solidFill>
          </w14:textFill>
        </w:rPr>
        <w:t>按不低于改造户数5%的比例组织入户验收。</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2.质量评估。</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市</w:t>
      </w:r>
      <w:r>
        <w:rPr>
          <w:rFonts w:hint="eastAsia" w:ascii="仿宋_GB2312" w:hAnsi="仿宋"/>
          <w:color w:val="000000" w:themeColor="text1"/>
          <w:kern w:val="0"/>
          <w:sz w:val="32"/>
          <w:szCs w:val="22"/>
          <w:shd w:val="clear" w:color="000000" w:fill="FFFFFF"/>
          <w14:textFill>
            <w14:solidFill>
              <w14:schemeClr w14:val="tx1"/>
            </w14:solidFill>
          </w14:textFill>
        </w:rPr>
        <w:t>民政局按照项目花名册抽取一定比例改造家庭，组织专业力量开展改造质量入户评估。如发现存在质量问题，责令改造服务单位限期整改，并再次组织验收。</w:t>
      </w:r>
    </w:p>
    <w:p>
      <w:pPr>
        <w:widowControl/>
        <w:spacing w:line="560" w:lineRule="exact"/>
        <w:ind w:firstLine="640" w:firstLineChars="200"/>
        <w:jc w:val="left"/>
        <w:rPr>
          <w:rFonts w:hint="eastAsia" w:ascii="仿宋_GB2312" w:hAnsi="仿宋"/>
          <w:color w:val="000000" w:themeColor="text1"/>
          <w:kern w:val="0"/>
          <w:sz w:val="32"/>
          <w:szCs w:val="22"/>
          <w:shd w:val="clear" w:color="000000" w:fill="FFFFFF"/>
          <w14:textFill>
            <w14:solidFill>
              <w14:schemeClr w14:val="tx1"/>
            </w14:solidFill>
          </w14:textFill>
        </w:rPr>
      </w:pPr>
      <w:r>
        <w:rPr>
          <w:rFonts w:hint="eastAsia" w:ascii="仿宋_GB2312" w:hAnsi="仿宋"/>
          <w:color w:val="000000" w:themeColor="text1"/>
          <w:kern w:val="0"/>
          <w:sz w:val="32"/>
          <w:szCs w:val="22"/>
          <w:shd w:val="clear" w:color="000000" w:fill="FFFFFF"/>
          <w14:textFill>
            <w14:solidFill>
              <w14:schemeClr w14:val="tx1"/>
            </w14:solidFill>
          </w14:textFill>
        </w:rPr>
        <w:t>3.经验总结。</w:t>
      </w:r>
      <w:r>
        <w:rPr>
          <w:rFonts w:hint="eastAsia" w:ascii="仿宋_GB2312" w:hAnsi="仿宋"/>
          <w:color w:val="000000" w:themeColor="text1"/>
          <w:kern w:val="0"/>
          <w:sz w:val="32"/>
          <w:szCs w:val="22"/>
          <w:shd w:val="clear" w:color="000000" w:fill="FFFFFF"/>
          <w:lang w:eastAsia="zh-CN"/>
          <w14:textFill>
            <w14:solidFill>
              <w14:schemeClr w14:val="tx1"/>
            </w14:solidFill>
          </w14:textFill>
        </w:rPr>
        <w:t>各级民政部门</w:t>
      </w:r>
      <w:r>
        <w:rPr>
          <w:rFonts w:hint="eastAsia" w:ascii="仿宋_GB2312" w:hAnsi="仿宋"/>
          <w:color w:val="000000" w:themeColor="text1"/>
          <w:kern w:val="0"/>
          <w:sz w:val="32"/>
          <w:szCs w:val="22"/>
          <w:shd w:val="clear" w:color="000000" w:fill="FFFFFF"/>
          <w14:textFill>
            <w14:solidFill>
              <w14:schemeClr w14:val="tx1"/>
            </w14:solidFill>
          </w14:textFill>
        </w:rPr>
        <w:t>对改造项目实施情况进行经验总结，做好下一年度计划和资金结算，并开展资金绩效评价工作。</w:t>
      </w:r>
    </w:p>
    <w:p>
      <w:pPr>
        <w:widowControl/>
        <w:spacing w:line="560" w:lineRule="exact"/>
        <w:ind w:firstLine="640" w:firstLineChars="200"/>
        <w:jc w:val="left"/>
        <w:rPr>
          <w:rFonts w:hint="eastAsia" w:ascii="黑体" w:hAnsi="黑体" w:eastAsia="黑体" w:cs="黑体"/>
          <w:color w:val="000000" w:themeColor="text1"/>
          <w:kern w:val="0"/>
          <w:sz w:val="32"/>
          <w:szCs w:val="22"/>
          <w:shd w:val="clear" w:color="000000" w:fill="FFFFFF"/>
          <w14:textFill>
            <w14:solidFill>
              <w14:schemeClr w14:val="tx1"/>
            </w14:solidFill>
          </w14:textFill>
        </w:rPr>
      </w:pPr>
      <w:r>
        <w:rPr>
          <w:rFonts w:hint="eastAsia" w:ascii="黑体" w:hAnsi="黑体" w:eastAsia="黑体" w:cs="黑体"/>
          <w:color w:val="000000" w:themeColor="text1"/>
          <w:kern w:val="0"/>
          <w:sz w:val="32"/>
          <w:szCs w:val="22"/>
          <w:shd w:val="clear" w:color="000000" w:fill="FFFFFF"/>
          <w14:textFill>
            <w14:solidFill>
              <w14:schemeClr w14:val="tx1"/>
            </w14:solidFill>
          </w14:textFill>
        </w:rPr>
        <w:t>五、有关要求</w:t>
      </w:r>
    </w:p>
    <w:p>
      <w:pPr>
        <w:widowControl/>
        <w:spacing w:line="560" w:lineRule="exact"/>
        <w:ind w:firstLine="643" w:firstLineChars="200"/>
        <w:jc w:val="left"/>
        <w:rPr>
          <w:rFonts w:hint="eastAsia" w:ascii="仿宋_GB2312" w:hAnsi="仿宋"/>
          <w:color w:val="333333"/>
          <w:kern w:val="0"/>
          <w:sz w:val="32"/>
          <w:szCs w:val="22"/>
          <w:shd w:val="clear" w:color="000000" w:fill="FFFFFF"/>
        </w:rPr>
      </w:pPr>
      <w:r>
        <w:rPr>
          <w:rFonts w:hint="eastAsia" w:ascii="楷体_GB2312" w:hAnsi="仿宋" w:eastAsia="楷体_GB2312"/>
          <w:b/>
          <w:color w:val="000000" w:themeColor="text1"/>
          <w:kern w:val="0"/>
          <w:sz w:val="32"/>
          <w:szCs w:val="22"/>
          <w:shd w:val="clear" w:color="000000" w:fill="FFFFFF"/>
          <w14:textFill>
            <w14:solidFill>
              <w14:schemeClr w14:val="tx1"/>
            </w14:solidFill>
          </w14:textFill>
        </w:rPr>
        <w:t>（一）加强组织领导。</w:t>
      </w:r>
      <w:r>
        <w:rPr>
          <w:rFonts w:hint="eastAsia" w:ascii="仿宋_GB2312" w:hAnsi="仿宋"/>
          <w:color w:val="000000" w:themeColor="text1"/>
          <w:kern w:val="0"/>
          <w:sz w:val="32"/>
          <w:szCs w:val="22"/>
          <w:shd w:val="clear" w:color="000000" w:fill="FFFFFF"/>
          <w14:textFill>
            <w14:solidFill>
              <w14:schemeClr w14:val="tx1"/>
            </w14:solidFill>
          </w14:textFill>
        </w:rPr>
        <w:t>居家适老化改造是深化养老服务供给侧改革、提升养老服务保障水平的重要举措，各相关部门要高度重视，加强组织领导，确保居家适老化改造工作的有效实施。民政部门要发挥养老服务职能部门牵头作用，将居家</w:t>
      </w:r>
      <w:r>
        <w:rPr>
          <w:rFonts w:hint="eastAsia" w:ascii="仿宋_GB2312" w:hAnsi="仿宋"/>
          <w:color w:val="333333"/>
          <w:kern w:val="0"/>
          <w:sz w:val="32"/>
          <w:szCs w:val="22"/>
          <w:shd w:val="clear" w:color="000000" w:fill="FFFFFF"/>
        </w:rPr>
        <w:t>适老化改造作为养老服务工作的重要内容，精心组织、周密部署、统筹协调、督促落实。民政、财政部门要加强协调，积极筹措资金，支持居家适老化改造</w:t>
      </w:r>
      <w:r>
        <w:rPr>
          <w:rFonts w:hint="eastAsia" w:ascii="仿宋_GB2312" w:hAnsi="仿宋"/>
          <w:color w:val="333333"/>
          <w:kern w:val="0"/>
          <w:sz w:val="32"/>
          <w:szCs w:val="22"/>
          <w:shd w:val="clear" w:color="000000" w:fill="FFFFFF"/>
          <w:lang w:eastAsia="zh-CN"/>
        </w:rPr>
        <w:t>，按上级的部署积极协调</w:t>
      </w:r>
      <w:r>
        <w:rPr>
          <w:rFonts w:hint="eastAsia" w:ascii="仿宋_GB2312" w:hAnsi="仿宋"/>
          <w:color w:val="333333"/>
          <w:kern w:val="0"/>
          <w:sz w:val="32"/>
          <w:szCs w:val="22"/>
          <w:shd w:val="clear" w:color="000000" w:fill="FFFFFF"/>
        </w:rPr>
        <w:t>商业保险机构开展与居家适老化改造工程相关的产品和服务创新。住房和城乡建设部门要将养老服务设施建设纳入城镇老旧小区改造内容。卫生健康部门（老龄办）要将居家适老化改造作为实施健康广东行动、推进老年友好社区和老年友好城</w:t>
      </w:r>
      <w:r>
        <w:rPr>
          <w:rFonts w:hint="eastAsia" w:ascii="仿宋_GB2312" w:hAnsi="仿宋"/>
          <w:color w:val="333333"/>
          <w:kern w:val="0"/>
          <w:sz w:val="32"/>
          <w:szCs w:val="22"/>
          <w:shd w:val="clear" w:color="000000" w:fill="FFFFFF"/>
          <w:lang w:eastAsia="zh-CN"/>
        </w:rPr>
        <w:t>区</w:t>
      </w:r>
      <w:r>
        <w:rPr>
          <w:rFonts w:hint="eastAsia" w:ascii="仿宋_GB2312" w:hAnsi="仿宋"/>
          <w:color w:val="333333"/>
          <w:kern w:val="0"/>
          <w:sz w:val="32"/>
          <w:szCs w:val="22"/>
          <w:shd w:val="clear" w:color="000000" w:fill="FFFFFF"/>
        </w:rPr>
        <w:t>建设的重要内容，协助做好相关改造对象认定和资质审核，并牵头做好老年人合法权益保护工作。扶贫部门协助做好相关改造对象认定和资格审核，确保高质量完成符合条件的建档立卡人员和边缘监测对象老年人家庭居家适老化改造。残联协助做好相关改造对象认定和资格审核，加强贫困重度残疾人家庭无障碍改造和居家适老化改造工作的衔接。</w:t>
      </w:r>
    </w:p>
    <w:p>
      <w:pPr>
        <w:widowControl/>
        <w:spacing w:line="560" w:lineRule="exact"/>
        <w:ind w:firstLine="643" w:firstLineChars="200"/>
        <w:jc w:val="left"/>
        <w:rPr>
          <w:rFonts w:hint="eastAsia" w:ascii="仿宋" w:hAnsi="仿宋" w:eastAsia="仿宋"/>
          <w:color w:val="333333"/>
          <w:kern w:val="0"/>
          <w:sz w:val="32"/>
          <w:szCs w:val="22"/>
          <w:shd w:val="clear" w:color="000000" w:fill="FFFFFF"/>
        </w:rPr>
      </w:pPr>
      <w:r>
        <w:rPr>
          <w:rFonts w:hint="eastAsia" w:ascii="楷体_GB2312" w:hAnsi="仿宋" w:eastAsia="楷体_GB2312"/>
          <w:b/>
          <w:color w:val="333333"/>
          <w:kern w:val="0"/>
          <w:sz w:val="32"/>
          <w:szCs w:val="22"/>
          <w:shd w:val="clear" w:color="000000" w:fill="FFFFFF"/>
        </w:rPr>
        <w:t>（二）严格项目程序。</w:t>
      </w:r>
      <w:r>
        <w:rPr>
          <w:rFonts w:hint="eastAsia" w:ascii="仿宋_GB2312" w:hAnsi="仿宋"/>
          <w:color w:val="333333"/>
          <w:kern w:val="0"/>
          <w:sz w:val="32"/>
          <w:szCs w:val="22"/>
          <w:shd w:val="clear" w:color="000000" w:fill="FFFFFF"/>
        </w:rPr>
        <w:t>在改造过程中注重操作流程和改造标准的规范和统一。坚持规范运作，严格按初选标准确定老年人家庭，严格审批、立项过程，按照规范要求编制预算，制定方案，做到有章可循、规范运作、严格把关。民政部门、改造服务单位和评估单位要根据各自职责做好资料收集等项目建档工作。</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 w:hAnsi="仿宋" w:eastAsia="仿宋"/>
          <w:color w:val="333333"/>
          <w:kern w:val="0"/>
          <w:sz w:val="32"/>
          <w:szCs w:val="22"/>
          <w:shd w:val="clear" w:color="000000" w:fill="FFFFFF"/>
        </w:rPr>
        <w:t>（</w:t>
      </w:r>
      <w:r>
        <w:rPr>
          <w:rFonts w:hint="eastAsia" w:ascii="楷体_GB2312" w:hAnsi="仿宋" w:eastAsia="楷体_GB2312"/>
          <w:b/>
          <w:color w:val="333333"/>
          <w:kern w:val="0"/>
          <w:sz w:val="32"/>
          <w:szCs w:val="22"/>
          <w:shd w:val="clear" w:color="000000" w:fill="FFFFFF"/>
        </w:rPr>
        <w:t>三）营造良好氛围。</w:t>
      </w:r>
      <w:r>
        <w:rPr>
          <w:rFonts w:hint="eastAsia" w:ascii="仿宋_GB2312" w:hAnsi="仿宋"/>
          <w:color w:val="333333"/>
          <w:kern w:val="0"/>
          <w:sz w:val="32"/>
          <w:szCs w:val="22"/>
          <w:shd w:val="clear" w:color="000000" w:fill="FFFFFF"/>
        </w:rPr>
        <w:t>各</w:t>
      </w:r>
      <w:r>
        <w:rPr>
          <w:rFonts w:hint="eastAsia" w:ascii="仿宋_GB2312" w:hAnsi="仿宋"/>
          <w:color w:val="333333"/>
          <w:kern w:val="0"/>
          <w:sz w:val="32"/>
          <w:szCs w:val="22"/>
          <w:shd w:val="clear" w:color="000000" w:fill="FFFFFF"/>
          <w:lang w:eastAsia="zh-CN"/>
        </w:rPr>
        <w:t>街道</w:t>
      </w:r>
      <w:r>
        <w:rPr>
          <w:rFonts w:hint="eastAsia" w:ascii="仿宋_GB2312" w:hAnsi="仿宋"/>
          <w:color w:val="333333"/>
          <w:kern w:val="0"/>
          <w:sz w:val="32"/>
          <w:szCs w:val="22"/>
          <w:shd w:val="clear" w:color="000000" w:fill="FFFFFF"/>
        </w:rPr>
        <w:t>要大力宣传居家适老化改造的重要意义，做好对老年人家庭及其邻里的宣传解释工作，争取社会的理解和支持，扩大项目的知晓度、参与度和影响力，有效激发城乡老年人家庭的改造意愿和消化潜力，为居家适老化改造营造良好社会环境。</w:t>
      </w:r>
    </w:p>
    <w:p>
      <w:pPr>
        <w:widowControl/>
        <w:spacing w:line="560" w:lineRule="exact"/>
        <w:ind w:firstLine="640" w:firstLineChars="200"/>
        <w:jc w:val="left"/>
        <w:rPr>
          <w:rFonts w:hint="eastAsia" w:ascii="仿宋" w:hAnsi="仿宋" w:eastAsia="仿宋"/>
          <w:color w:val="333333"/>
          <w:kern w:val="0"/>
          <w:sz w:val="32"/>
          <w:szCs w:val="22"/>
          <w:shd w:val="clear" w:color="000000" w:fill="FFFFFF"/>
        </w:rPr>
      </w:pP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附件：</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老年人居家适老化改造项目清单》</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老年人居家适老化改造申请审批表</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3.</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居家适老化改造方案评估表</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4.</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居家适老化改造方案确认表</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5.</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居家适老化改造验收表</w:t>
      </w:r>
    </w:p>
    <w:p>
      <w:pPr>
        <w:widowControl/>
        <w:spacing w:line="560" w:lineRule="exact"/>
        <w:ind w:firstLine="640" w:firstLineChars="2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6.</w:t>
      </w:r>
      <w:r>
        <w:rPr>
          <w:rFonts w:hint="eastAsia" w:ascii="仿宋_GB2312" w:hAnsi="仿宋"/>
          <w:color w:val="333333"/>
          <w:kern w:val="0"/>
          <w:sz w:val="32"/>
          <w:szCs w:val="22"/>
          <w:u w:val="single"/>
          <w:shd w:val="clear" w:color="000000" w:fill="FFFFFF"/>
        </w:rPr>
        <w:t xml:space="preserve"> </w:t>
      </w:r>
      <w:r>
        <w:rPr>
          <w:rFonts w:hint="eastAsia" w:ascii="仿宋_GB2312" w:hAnsi="仿宋"/>
          <w:color w:val="333333"/>
          <w:kern w:val="0"/>
          <w:sz w:val="32"/>
          <w:szCs w:val="22"/>
          <w:u w:val="single"/>
          <w:shd w:val="clear" w:color="000000" w:fill="FFFFFF"/>
          <w:lang w:val="en-US" w:eastAsia="zh-CN"/>
        </w:rPr>
        <w:t xml:space="preserve"> </w:t>
      </w:r>
      <w:r>
        <w:rPr>
          <w:rFonts w:hint="eastAsia" w:ascii="仿宋_GB2312" w:hAnsi="仿宋"/>
          <w:color w:val="333333"/>
          <w:kern w:val="0"/>
          <w:sz w:val="32"/>
          <w:szCs w:val="22"/>
          <w:u w:val="single"/>
          <w:shd w:val="clear" w:color="000000" w:fill="FFFFFF"/>
        </w:rPr>
        <w:t xml:space="preserve">  </w:t>
      </w:r>
      <w:r>
        <w:rPr>
          <w:rFonts w:hint="eastAsia" w:ascii="仿宋_GB2312" w:hAnsi="仿宋"/>
          <w:color w:val="333333"/>
          <w:kern w:val="0"/>
          <w:sz w:val="32"/>
          <w:szCs w:val="22"/>
          <w:shd w:val="clear" w:color="000000" w:fill="FFFFFF"/>
        </w:rPr>
        <w:t>年</w:t>
      </w: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u w:val="single"/>
          <w:shd w:val="clear" w:color="000000" w:fill="FFFFFF"/>
          <w:lang w:val="en-US" w:eastAsia="zh-CN"/>
        </w:rPr>
        <w:t xml:space="preserve">      </w:t>
      </w:r>
      <w:r>
        <w:rPr>
          <w:rFonts w:hint="eastAsia" w:ascii="仿宋_GB2312" w:hAnsi="仿宋"/>
          <w:color w:val="333333"/>
          <w:kern w:val="0"/>
          <w:sz w:val="32"/>
          <w:szCs w:val="22"/>
          <w:u w:val="none"/>
          <w:shd w:val="clear" w:color="000000" w:fill="FFFFFF"/>
          <w:lang w:val="en-US" w:eastAsia="zh-CN"/>
        </w:rPr>
        <w:t>街道</w:t>
      </w:r>
      <w:r>
        <w:rPr>
          <w:rFonts w:hint="eastAsia" w:ascii="仿宋_GB2312" w:hAnsi="仿宋"/>
          <w:color w:val="333333"/>
          <w:kern w:val="0"/>
          <w:sz w:val="32"/>
          <w:szCs w:val="22"/>
          <w:shd w:val="clear" w:color="000000" w:fill="FFFFFF"/>
        </w:rPr>
        <w:t>居家适老化改造名册</w:t>
      </w:r>
    </w:p>
    <w:p>
      <w:pPr>
        <w:widowControl/>
        <w:spacing w:line="560" w:lineRule="exact"/>
        <w:ind w:firstLine="640" w:firstLineChars="200"/>
        <w:jc w:val="left"/>
        <w:rPr>
          <w:rFonts w:hint="eastAsia" w:ascii="仿宋" w:hAnsi="仿宋" w:eastAsia="仿宋"/>
          <w:color w:val="333333"/>
          <w:kern w:val="0"/>
          <w:sz w:val="32"/>
          <w:szCs w:val="22"/>
          <w:shd w:val="clear" w:color="000000" w:fill="FFFFFF"/>
        </w:rPr>
      </w:pPr>
    </w:p>
    <w:p>
      <w:pPr>
        <w:widowControl/>
        <w:spacing w:line="560" w:lineRule="exact"/>
        <w:ind w:firstLine="640" w:firstLineChars="200"/>
        <w:jc w:val="left"/>
        <w:rPr>
          <w:rFonts w:hint="eastAsia" w:ascii="仿宋" w:hAnsi="仿宋" w:eastAsia="仿宋"/>
          <w:color w:val="333333"/>
          <w:kern w:val="0"/>
          <w:sz w:val="32"/>
          <w:szCs w:val="22"/>
          <w:shd w:val="clear" w:color="000000" w:fill="FFFFFF"/>
        </w:rPr>
      </w:pPr>
    </w:p>
    <w:p>
      <w:pPr>
        <w:widowControl/>
        <w:spacing w:line="560" w:lineRule="exact"/>
        <w:ind w:firstLine="640" w:firstLineChars="200"/>
        <w:jc w:val="left"/>
        <w:rPr>
          <w:rFonts w:hint="eastAsia" w:ascii="仿宋" w:hAnsi="仿宋" w:eastAsia="仿宋"/>
          <w:color w:val="333333"/>
          <w:kern w:val="0"/>
          <w:sz w:val="32"/>
          <w:szCs w:val="22"/>
          <w:shd w:val="clear" w:color="000000" w:fill="FFFFFF"/>
        </w:rPr>
      </w:pPr>
    </w:p>
    <w:p>
      <w:pPr>
        <w:widowControl/>
        <w:spacing w:line="560" w:lineRule="exact"/>
        <w:ind w:firstLine="640" w:firstLineChars="200"/>
        <w:jc w:val="left"/>
        <w:rPr>
          <w:rFonts w:hint="eastAsia" w:ascii="仿宋_GB2312" w:hAnsi="仿宋"/>
          <w:color w:val="333333"/>
          <w:kern w:val="0"/>
          <w:sz w:val="32"/>
          <w:szCs w:val="22"/>
          <w:shd w:val="clear" w:color="000000" w:fill="FFFFFF"/>
        </w:rPr>
      </w:pPr>
    </w:p>
    <w:tbl>
      <w:tblPr>
        <w:tblStyle w:val="4"/>
        <w:tblpPr w:leftFromText="180" w:rightFromText="180" w:vertAnchor="text" w:horzAnchor="page" w:tblpX="1845" w:tblpY="108"/>
        <w:tblOverlap w:val="never"/>
        <w:tblW w:w="9073" w:type="dxa"/>
        <w:tblInd w:w="0" w:type="dxa"/>
        <w:tblLayout w:type="fixed"/>
        <w:tblCellMar>
          <w:top w:w="0" w:type="dxa"/>
          <w:left w:w="108" w:type="dxa"/>
          <w:bottom w:w="0" w:type="dxa"/>
          <w:right w:w="108" w:type="dxa"/>
        </w:tblCellMar>
      </w:tblPr>
      <w:tblGrid>
        <w:gridCol w:w="567"/>
        <w:gridCol w:w="1183"/>
        <w:gridCol w:w="232"/>
        <w:gridCol w:w="1352"/>
        <w:gridCol w:w="238"/>
        <w:gridCol w:w="5501"/>
      </w:tblGrid>
      <w:tr>
        <w:tblPrEx>
          <w:tblCellMar>
            <w:top w:w="0" w:type="dxa"/>
            <w:left w:w="108" w:type="dxa"/>
            <w:bottom w:w="0" w:type="dxa"/>
            <w:right w:w="108" w:type="dxa"/>
          </w:tblCellMar>
        </w:tblPrEx>
        <w:trPr>
          <w:trHeight w:val="190" w:hRule="atLeast"/>
        </w:trPr>
        <w:tc>
          <w:tcPr>
            <w:tcW w:w="1982" w:type="dxa"/>
            <w:gridSpan w:val="3"/>
            <w:tcBorders>
              <w:top w:val="nil"/>
              <w:left w:val="nil"/>
              <w:bottom w:val="nil"/>
              <w:right w:val="nil"/>
            </w:tcBorders>
            <w:noWrap/>
            <w:vAlign w:val="center"/>
          </w:tcPr>
          <w:p>
            <w:pPr>
              <w:widowControl/>
              <w:spacing w:line="56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附件一：</w:t>
            </w:r>
          </w:p>
        </w:tc>
        <w:tc>
          <w:tcPr>
            <w:tcW w:w="1590" w:type="dxa"/>
            <w:gridSpan w:val="2"/>
            <w:tcBorders>
              <w:top w:val="nil"/>
              <w:left w:val="nil"/>
              <w:bottom w:val="nil"/>
              <w:right w:val="nil"/>
            </w:tcBorders>
            <w:noWrap/>
            <w:vAlign w:val="center"/>
          </w:tcPr>
          <w:p>
            <w:pPr>
              <w:widowControl/>
              <w:spacing w:line="560" w:lineRule="exact"/>
              <w:ind w:firstLine="640" w:firstLineChars="200"/>
              <w:jc w:val="left"/>
              <w:rPr>
                <w:rFonts w:hint="eastAsia" w:ascii="仿宋_GB2312" w:hAnsi="仿宋"/>
                <w:color w:val="333333"/>
                <w:kern w:val="0"/>
                <w:sz w:val="32"/>
                <w:szCs w:val="22"/>
                <w:shd w:val="clear" w:color="000000" w:fill="FFFFFF"/>
              </w:rPr>
            </w:pPr>
          </w:p>
        </w:tc>
        <w:tc>
          <w:tcPr>
            <w:tcW w:w="5501" w:type="dxa"/>
            <w:tcBorders>
              <w:top w:val="nil"/>
              <w:left w:val="nil"/>
              <w:bottom w:val="nil"/>
              <w:right w:val="nil"/>
            </w:tcBorders>
            <w:noWrap/>
            <w:vAlign w:val="center"/>
          </w:tcPr>
          <w:p>
            <w:pPr>
              <w:widowControl/>
              <w:spacing w:line="560" w:lineRule="exact"/>
              <w:ind w:firstLine="640" w:firstLineChars="200"/>
              <w:jc w:val="left"/>
              <w:rPr>
                <w:rFonts w:hint="eastAsia" w:ascii="仿宋_GB2312" w:hAnsi="仿宋"/>
                <w:color w:val="333333"/>
                <w:kern w:val="0"/>
                <w:sz w:val="32"/>
                <w:szCs w:val="22"/>
                <w:shd w:val="clear" w:color="000000" w:fill="FFFFFF"/>
              </w:rPr>
            </w:pPr>
          </w:p>
        </w:tc>
      </w:tr>
      <w:tr>
        <w:tblPrEx>
          <w:tblCellMar>
            <w:top w:w="0" w:type="dxa"/>
            <w:left w:w="108" w:type="dxa"/>
            <w:bottom w:w="0" w:type="dxa"/>
            <w:right w:w="108" w:type="dxa"/>
          </w:tblCellMar>
        </w:tblPrEx>
        <w:trPr>
          <w:trHeight w:val="403" w:hRule="atLeast"/>
        </w:trPr>
        <w:tc>
          <w:tcPr>
            <w:tcW w:w="9073" w:type="dxa"/>
            <w:gridSpan w:val="6"/>
            <w:tcBorders>
              <w:top w:val="nil"/>
              <w:left w:val="nil"/>
              <w:bottom w:val="nil"/>
              <w:right w:val="nil"/>
            </w:tcBorders>
            <w:noWrap/>
            <w:vAlign w:val="center"/>
          </w:tcPr>
          <w:p>
            <w:pPr>
              <w:widowControl/>
              <w:spacing w:line="560" w:lineRule="exact"/>
              <w:ind w:firstLine="1600" w:firstLineChars="500"/>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lang w:eastAsia="zh-CN"/>
              </w:rPr>
              <w:t>龙湖区</w:t>
            </w:r>
            <w:r>
              <w:rPr>
                <w:rFonts w:hint="eastAsia" w:ascii="仿宋_GB2312" w:hAnsi="仿宋"/>
                <w:color w:val="333333"/>
                <w:kern w:val="0"/>
                <w:sz w:val="32"/>
                <w:szCs w:val="22"/>
                <w:shd w:val="clear" w:color="000000" w:fill="FFFFFF"/>
              </w:rPr>
              <w:t>老年人居家适老化改造项目清单</w:t>
            </w:r>
          </w:p>
        </w:tc>
      </w:tr>
      <w:tr>
        <w:tblPrEx>
          <w:tblCellMar>
            <w:top w:w="0" w:type="dxa"/>
            <w:left w:w="108" w:type="dxa"/>
            <w:bottom w:w="0" w:type="dxa"/>
            <w:right w:w="108" w:type="dxa"/>
          </w:tblCellMar>
        </w:tblPrEx>
        <w:trPr>
          <w:trHeight w:val="750" w:hRule="atLeast"/>
        </w:trPr>
        <w:tc>
          <w:tcPr>
            <w:tcW w:w="9073" w:type="dxa"/>
            <w:gridSpan w:val="6"/>
            <w:tcBorders>
              <w:top w:val="nil"/>
              <w:left w:val="nil"/>
              <w:bottom w:val="single" w:color="auto" w:sz="4" w:space="0"/>
              <w:right w:val="nil"/>
            </w:tcBorders>
            <w:noWrap/>
            <w:vAlign w:val="center"/>
          </w:tcPr>
          <w:p>
            <w:pPr>
              <w:widowControl/>
              <w:spacing w:line="56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一、基础改造项目（共7项）</w:t>
            </w:r>
          </w:p>
        </w:tc>
      </w:tr>
      <w:tr>
        <w:tblPrEx>
          <w:tblCellMar>
            <w:top w:w="0" w:type="dxa"/>
            <w:left w:w="108" w:type="dxa"/>
            <w:bottom w:w="0" w:type="dxa"/>
            <w:right w:w="108" w:type="dxa"/>
          </w:tblCellMar>
        </w:tblPrEx>
        <w:trPr>
          <w:trHeight w:val="95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序号</w:t>
            </w:r>
          </w:p>
        </w:tc>
        <w:tc>
          <w:tcPr>
            <w:tcW w:w="11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类别</w:t>
            </w:r>
          </w:p>
        </w:tc>
        <w:tc>
          <w:tcPr>
            <w:tcW w:w="1584" w:type="dxa"/>
            <w:gridSpan w:val="2"/>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项目名称</w:t>
            </w:r>
          </w:p>
        </w:tc>
        <w:tc>
          <w:tcPr>
            <w:tcW w:w="5739" w:type="dxa"/>
            <w:gridSpan w:val="2"/>
            <w:tcBorders>
              <w:top w:val="nil"/>
              <w:left w:val="nil"/>
              <w:bottom w:val="single" w:color="auto" w:sz="4" w:space="0"/>
              <w:right w:val="single" w:color="auto" w:sz="4" w:space="0"/>
            </w:tcBorders>
            <w:noWrap/>
            <w:vAlign w:val="center"/>
          </w:tcPr>
          <w:p>
            <w:pPr>
              <w:widowControl/>
              <w:spacing w:line="560" w:lineRule="exact"/>
              <w:jc w:val="center"/>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具体内容</w:t>
            </w:r>
          </w:p>
        </w:tc>
      </w:tr>
      <w:tr>
        <w:tblPrEx>
          <w:tblCellMar>
            <w:top w:w="0" w:type="dxa"/>
            <w:left w:w="108" w:type="dxa"/>
            <w:bottom w:w="0" w:type="dxa"/>
            <w:right w:w="108" w:type="dxa"/>
          </w:tblCellMar>
        </w:tblPrEx>
        <w:trPr>
          <w:trHeight w:val="1329"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w:t>
            </w:r>
          </w:p>
        </w:tc>
        <w:tc>
          <w:tcPr>
            <w:tcW w:w="11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地面改造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防滑处理</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在卫生间、厨房、卧室等区域，铺设防滑砖或者防滑地胶，避免老年人滑倒，提高安全性。</w:t>
            </w:r>
          </w:p>
        </w:tc>
      </w:tr>
      <w:tr>
        <w:tblPrEx>
          <w:tblCellMar>
            <w:top w:w="0" w:type="dxa"/>
            <w:left w:w="108" w:type="dxa"/>
            <w:bottom w:w="0" w:type="dxa"/>
            <w:right w:w="108" w:type="dxa"/>
          </w:tblCellMar>
        </w:tblPrEx>
        <w:trPr>
          <w:trHeight w:val="139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w:t>
            </w:r>
          </w:p>
        </w:tc>
        <w:tc>
          <w:tcPr>
            <w:tcW w:w="11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高差处理</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铺设水泥坡道或者加设橡胶等材质的可移动式坡道，保证路面平滑、无高差障碍，方便轮椅进出。</w:t>
            </w:r>
          </w:p>
        </w:tc>
      </w:tr>
      <w:tr>
        <w:tblPrEx>
          <w:tblCellMar>
            <w:top w:w="0" w:type="dxa"/>
            <w:left w:w="108" w:type="dxa"/>
            <w:bottom w:w="0" w:type="dxa"/>
            <w:right w:w="108" w:type="dxa"/>
          </w:tblCellMar>
        </w:tblPrEx>
        <w:trPr>
          <w:trHeight w:val="1047"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3</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卧室改造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安装床边护栏</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辅助老年人起身、上下床，防止翻身滚下床，保证老年人睡眠和活动安全。</w:t>
            </w:r>
          </w:p>
        </w:tc>
      </w:tr>
      <w:tr>
        <w:tblPrEx>
          <w:tblCellMar>
            <w:top w:w="0" w:type="dxa"/>
            <w:left w:w="108" w:type="dxa"/>
            <w:bottom w:w="0" w:type="dxa"/>
            <w:right w:w="108" w:type="dxa"/>
          </w:tblCellMar>
        </w:tblPrEx>
        <w:trPr>
          <w:trHeight w:val="1900"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4</w:t>
            </w:r>
          </w:p>
        </w:tc>
        <w:tc>
          <w:tcPr>
            <w:tcW w:w="11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如厕洗浴设备改造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安装扶手</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如厕区或者洗浴区安装扶手，辅助老年人起身、站立、转身和坐下，包括一字形扶手、U形扶手、L形扶手、135°扶手、T形扶手或者助力扶手等。</w:t>
            </w:r>
          </w:p>
        </w:tc>
      </w:tr>
      <w:tr>
        <w:tblPrEx>
          <w:tblCellMar>
            <w:top w:w="0" w:type="dxa"/>
            <w:left w:w="108" w:type="dxa"/>
            <w:bottom w:w="0" w:type="dxa"/>
            <w:right w:w="108" w:type="dxa"/>
          </w:tblCellMar>
        </w:tblPrEx>
        <w:trPr>
          <w:trHeight w:val="1154"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5</w:t>
            </w:r>
          </w:p>
        </w:tc>
        <w:tc>
          <w:tcPr>
            <w:tcW w:w="11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配置淋浴椅</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辅助老年人洗澡用，避免老年人滑倒，提高安全性。</w:t>
            </w:r>
          </w:p>
        </w:tc>
      </w:tr>
      <w:tr>
        <w:tblPrEx>
          <w:tblCellMar>
            <w:top w:w="0" w:type="dxa"/>
            <w:left w:w="108" w:type="dxa"/>
            <w:bottom w:w="0" w:type="dxa"/>
            <w:right w:w="108" w:type="dxa"/>
          </w:tblCellMar>
        </w:tblPrEx>
        <w:trPr>
          <w:trHeight w:val="1068"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6</w:t>
            </w:r>
          </w:p>
        </w:tc>
        <w:tc>
          <w:tcPr>
            <w:tcW w:w="11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老年用品配置</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手杖</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辅助老年人平稳站立和行走，包含三脚或四脚手杖、凳拐等。</w:t>
            </w:r>
          </w:p>
        </w:tc>
      </w:tr>
      <w:tr>
        <w:tblPrEx>
          <w:tblCellMar>
            <w:top w:w="0" w:type="dxa"/>
            <w:left w:w="108" w:type="dxa"/>
            <w:bottom w:w="0" w:type="dxa"/>
            <w:right w:w="108" w:type="dxa"/>
          </w:tblCellMar>
        </w:tblPrEx>
        <w:trPr>
          <w:trHeight w:val="1398"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7</w:t>
            </w:r>
          </w:p>
        </w:tc>
        <w:tc>
          <w:tcPr>
            <w:tcW w:w="118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防走失装置</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用于监测失智老年人或其他精神障碍老年人定位，避免老年人走失，包括防走失手环、防走失胸卡等。</w:t>
            </w:r>
          </w:p>
        </w:tc>
      </w:tr>
      <w:tr>
        <w:tblPrEx>
          <w:tblCellMar>
            <w:top w:w="0" w:type="dxa"/>
            <w:left w:w="108" w:type="dxa"/>
            <w:bottom w:w="0" w:type="dxa"/>
            <w:right w:w="108" w:type="dxa"/>
          </w:tblCellMar>
        </w:tblPrEx>
        <w:trPr>
          <w:trHeight w:val="303" w:hRule="atLeast"/>
        </w:trPr>
        <w:tc>
          <w:tcPr>
            <w:tcW w:w="9073" w:type="dxa"/>
            <w:gridSpan w:val="6"/>
            <w:tcBorders>
              <w:top w:val="nil"/>
              <w:left w:val="nil"/>
              <w:bottom w:val="nil"/>
              <w:right w:val="nil"/>
            </w:tcBorders>
            <w:noWrap/>
            <w:vAlign w:val="center"/>
          </w:tcPr>
          <w:p>
            <w:pPr>
              <w:widowControl/>
              <w:spacing w:line="56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二、可选改造项目（共22项）</w:t>
            </w:r>
          </w:p>
        </w:tc>
      </w:tr>
      <w:tr>
        <w:tblPrEx>
          <w:tblCellMar>
            <w:top w:w="0" w:type="dxa"/>
            <w:left w:w="108" w:type="dxa"/>
            <w:bottom w:w="0" w:type="dxa"/>
            <w:right w:w="108" w:type="dxa"/>
          </w:tblCellMar>
        </w:tblPrEx>
        <w:trPr>
          <w:trHeight w:val="447"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序号</w:t>
            </w:r>
          </w:p>
        </w:tc>
        <w:tc>
          <w:tcPr>
            <w:tcW w:w="1183"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类别</w:t>
            </w:r>
          </w:p>
        </w:tc>
        <w:tc>
          <w:tcPr>
            <w:tcW w:w="1584"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项目名称</w:t>
            </w:r>
          </w:p>
        </w:tc>
        <w:tc>
          <w:tcPr>
            <w:tcW w:w="5739"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具体内容</w:t>
            </w:r>
          </w:p>
        </w:tc>
      </w:tr>
      <w:tr>
        <w:tblPrEx>
          <w:tblCellMar>
            <w:top w:w="0" w:type="dxa"/>
            <w:left w:w="108" w:type="dxa"/>
            <w:bottom w:w="0" w:type="dxa"/>
            <w:right w:w="108" w:type="dxa"/>
          </w:tblCellMar>
        </w:tblPrEx>
        <w:trPr>
          <w:trHeight w:val="446"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w:t>
            </w:r>
          </w:p>
        </w:tc>
        <w:tc>
          <w:tcPr>
            <w:tcW w:w="11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地面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平整硬化</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对地面进行平整硬化，方便轮椅通过，降低风险。</w:t>
            </w:r>
          </w:p>
        </w:tc>
      </w:tr>
      <w:tr>
        <w:tblPrEx>
          <w:tblCellMar>
            <w:top w:w="0" w:type="dxa"/>
            <w:left w:w="108" w:type="dxa"/>
            <w:bottom w:w="0" w:type="dxa"/>
            <w:right w:w="108" w:type="dxa"/>
          </w:tblCellMar>
        </w:tblPrEx>
        <w:trPr>
          <w:trHeight w:val="23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w:t>
            </w:r>
          </w:p>
        </w:tc>
        <w:tc>
          <w:tcPr>
            <w:tcW w:w="11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安装扶手</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在高差变化处安装扶手，辅助老年人通过。</w:t>
            </w:r>
          </w:p>
        </w:tc>
      </w:tr>
      <w:tr>
        <w:tblPrEx>
          <w:tblCellMar>
            <w:top w:w="0" w:type="dxa"/>
            <w:left w:w="108" w:type="dxa"/>
            <w:bottom w:w="0" w:type="dxa"/>
            <w:right w:w="108" w:type="dxa"/>
          </w:tblCellMar>
        </w:tblPrEx>
        <w:trPr>
          <w:trHeight w:val="422"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3</w:t>
            </w:r>
          </w:p>
        </w:tc>
        <w:tc>
          <w:tcPr>
            <w:tcW w:w="118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门改造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门槛移除</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移除门槛，保证老年人进门无障碍，方便轮椅进出。</w:t>
            </w:r>
          </w:p>
        </w:tc>
      </w:tr>
      <w:tr>
        <w:tblPrEx>
          <w:tblCellMar>
            <w:top w:w="0" w:type="dxa"/>
            <w:left w:w="108" w:type="dxa"/>
            <w:bottom w:w="0" w:type="dxa"/>
            <w:right w:w="108" w:type="dxa"/>
          </w:tblCellMar>
        </w:tblPrEx>
        <w:trPr>
          <w:trHeight w:val="384"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4</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平开门改为推拉门</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方便开启，增加通行宽度和辅助操作空间。</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5</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房门拓宽</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对卫生间、厨房等空间较窄的门进行拓宽，改善通过性，方便轮椅进出。</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6</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下压式门把手改造</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可用单手手掌或者手指轻松操作，增加摩擦力和稳定性，方便老年人开门。</w:t>
            </w:r>
          </w:p>
        </w:tc>
      </w:tr>
      <w:tr>
        <w:tblPrEx>
          <w:tblCellMar>
            <w:top w:w="0" w:type="dxa"/>
            <w:left w:w="108" w:type="dxa"/>
            <w:bottom w:w="0" w:type="dxa"/>
            <w:right w:w="108" w:type="dxa"/>
          </w:tblCellMar>
        </w:tblPrEx>
        <w:trPr>
          <w:trHeight w:val="750"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7</w:t>
            </w:r>
          </w:p>
        </w:tc>
        <w:tc>
          <w:tcPr>
            <w:tcW w:w="11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安装闪光振动门鈴</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供听力视力障碍老年人使用。</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8</w:t>
            </w:r>
          </w:p>
        </w:tc>
        <w:tc>
          <w:tcPr>
            <w:tcW w:w="11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如厕、洗浴设备改造</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蹲便器改坐便器</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减轻蹲姿造成的腿部压力，避免老年人如厕时摔倒，方便乘轮椅老年人使用。</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9</w:t>
            </w:r>
          </w:p>
        </w:tc>
        <w:tc>
          <w:tcPr>
            <w:tcW w:w="11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水龙头改造</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更换锈蚀的水管，采用拔杆式或感应水龙头，方便老年人开关水阀。</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10</w:t>
            </w:r>
          </w:p>
        </w:tc>
        <w:tc>
          <w:tcPr>
            <w:tcW w:w="11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淋浴房改造</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拆除浴缸/淋浴房，更换浴帘、浴杆,拓宽淋浴空间，方便照护辅助老年人洗浴。</w:t>
            </w:r>
          </w:p>
        </w:tc>
      </w:tr>
      <w:tr>
        <w:tblPrEx>
          <w:tblCellMar>
            <w:top w:w="0" w:type="dxa"/>
            <w:left w:w="108" w:type="dxa"/>
            <w:bottom w:w="0" w:type="dxa"/>
            <w:right w:w="108" w:type="dxa"/>
          </w:tblCellMar>
        </w:tblPrEx>
        <w:trPr>
          <w:trHeight w:val="60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11</w:t>
            </w:r>
          </w:p>
        </w:tc>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厨房设备改造</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台面改造</w:t>
            </w:r>
          </w:p>
        </w:tc>
        <w:tc>
          <w:tcPr>
            <w:tcW w:w="573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降低操作台、灶台、洗菜池高度或者在其下方留出容膝空间，方便乘轮椅或者体型矮小老年人操作。</w:t>
            </w:r>
          </w:p>
        </w:tc>
      </w:tr>
      <w:tr>
        <w:tblPrEx>
          <w:tblCellMar>
            <w:top w:w="0" w:type="dxa"/>
            <w:left w:w="108" w:type="dxa"/>
            <w:bottom w:w="0" w:type="dxa"/>
            <w:right w:w="108" w:type="dxa"/>
          </w:tblCellMar>
        </w:tblPrEx>
        <w:trPr>
          <w:trHeight w:val="40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12</w:t>
            </w: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加设中部柜</w:t>
            </w:r>
          </w:p>
        </w:tc>
        <w:tc>
          <w:tcPr>
            <w:tcW w:w="573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在吊柜下方或适当位置设置开敞式中部柜、中部架，方便老年人取放物品。</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13</w:t>
            </w:r>
          </w:p>
        </w:tc>
        <w:tc>
          <w:tcPr>
            <w:tcW w:w="11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居家环境改造类别</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安装自动感应灯具</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加装感应式或触控式小灯，避免直射光源、强刺激性光源，辅助老年人起夜使用。</w:t>
            </w:r>
          </w:p>
        </w:tc>
      </w:tr>
      <w:tr>
        <w:tblPrEx>
          <w:tblCellMar>
            <w:top w:w="0" w:type="dxa"/>
            <w:left w:w="108" w:type="dxa"/>
            <w:bottom w:w="0" w:type="dxa"/>
            <w:right w:w="108" w:type="dxa"/>
          </w:tblCellMar>
        </w:tblPrEx>
        <w:trPr>
          <w:trHeight w:val="40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eastAsia="仿宋_GB2312" w:cs="Times New Roman"/>
                <w:color w:val="333333"/>
                <w:kern w:val="0"/>
                <w:sz w:val="32"/>
                <w:szCs w:val="22"/>
                <w:shd w:val="clear" w:color="000000" w:fill="FFFFFF"/>
                <w:lang w:val="en-US" w:eastAsia="zh-CN" w:bidi="ar-SA"/>
              </w:rPr>
            </w:pPr>
            <w:r>
              <w:rPr>
                <w:rFonts w:hint="eastAsia" w:ascii="仿宋_GB2312" w:hAnsi="仿宋"/>
                <w:color w:val="333333"/>
                <w:kern w:val="0"/>
                <w:sz w:val="32"/>
                <w:szCs w:val="22"/>
                <w:shd w:val="clear" w:color="000000" w:fill="FFFFFF"/>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 w:eastAsia="仿宋_GB2312" w:cs="Times New Roman"/>
                <w:color w:val="333333"/>
                <w:kern w:val="0"/>
                <w:sz w:val="32"/>
                <w:szCs w:val="22"/>
                <w:shd w:val="clear" w:color="000000" w:fill="FFFFFF"/>
                <w:lang w:val="en-US" w:eastAsia="zh-CN" w:bidi="ar-SA"/>
              </w:rPr>
            </w:pPr>
            <w:r>
              <w:rPr>
                <w:rFonts w:hint="eastAsia" w:ascii="仿宋_GB2312" w:hAnsi="仿宋"/>
                <w:color w:val="333333"/>
                <w:kern w:val="0"/>
                <w:sz w:val="32"/>
                <w:szCs w:val="22"/>
                <w:shd w:val="clear" w:color="000000" w:fill="FFFFFF"/>
              </w:rPr>
              <w:t>类别</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 w:eastAsia="仿宋_GB2312" w:cs="Times New Roman"/>
                <w:color w:val="333333"/>
                <w:kern w:val="0"/>
                <w:sz w:val="32"/>
                <w:szCs w:val="22"/>
                <w:shd w:val="clear" w:color="000000" w:fill="FFFFFF"/>
                <w:lang w:val="en-US" w:eastAsia="zh-CN" w:bidi="ar-SA"/>
              </w:rPr>
            </w:pPr>
            <w:r>
              <w:rPr>
                <w:rFonts w:hint="eastAsia" w:ascii="仿宋_GB2312" w:hAnsi="仿宋"/>
                <w:color w:val="333333"/>
                <w:kern w:val="0"/>
                <w:sz w:val="32"/>
                <w:szCs w:val="22"/>
                <w:shd w:val="clear" w:color="000000" w:fill="FFFFFF"/>
              </w:rPr>
              <w:t>项目名称</w:t>
            </w:r>
          </w:p>
        </w:tc>
        <w:tc>
          <w:tcPr>
            <w:tcW w:w="5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 w:eastAsia="仿宋_GB2312" w:cs="Times New Roman"/>
                <w:color w:val="333333"/>
                <w:kern w:val="0"/>
                <w:sz w:val="32"/>
                <w:szCs w:val="22"/>
                <w:shd w:val="clear" w:color="000000" w:fill="FFFFFF"/>
                <w:lang w:val="en-US" w:eastAsia="zh-CN" w:bidi="ar-SA"/>
              </w:rPr>
            </w:pPr>
            <w:r>
              <w:rPr>
                <w:rFonts w:hint="eastAsia" w:ascii="仿宋_GB2312" w:hAnsi="仿宋"/>
                <w:color w:val="333333"/>
                <w:kern w:val="0"/>
                <w:sz w:val="32"/>
                <w:szCs w:val="22"/>
                <w:shd w:val="clear" w:color="000000" w:fill="FFFFFF"/>
              </w:rPr>
              <w:t>具体内容</w:t>
            </w:r>
          </w:p>
        </w:tc>
      </w:tr>
      <w:tr>
        <w:tblPrEx>
          <w:tblCellMar>
            <w:top w:w="0" w:type="dxa"/>
            <w:left w:w="108" w:type="dxa"/>
            <w:bottom w:w="0" w:type="dxa"/>
            <w:right w:w="108" w:type="dxa"/>
          </w:tblCellMar>
        </w:tblPrEx>
        <w:trPr>
          <w:trHeight w:val="138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14</w:t>
            </w:r>
          </w:p>
        </w:tc>
        <w:tc>
          <w:tcPr>
            <w:tcW w:w="11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居家环境改造类别</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电源插座及开关改造</w:t>
            </w:r>
          </w:p>
        </w:tc>
        <w:tc>
          <w:tcPr>
            <w:tcW w:w="573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视情进行高/低位改造或安装双控电灯开关，避免老年人下蹲或弯腰，方便老年人插拔电源和使用开关。</w:t>
            </w:r>
          </w:p>
        </w:tc>
      </w:tr>
      <w:tr>
        <w:tblPrEx>
          <w:tblCellMar>
            <w:top w:w="0" w:type="dxa"/>
            <w:left w:w="108" w:type="dxa"/>
            <w:bottom w:w="0" w:type="dxa"/>
            <w:right w:w="108" w:type="dxa"/>
          </w:tblCellMar>
        </w:tblPrEx>
        <w:trPr>
          <w:trHeight w:val="984"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15</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用电线路</w:t>
            </w:r>
          </w:p>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改造</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对室内老化、裸露用电线路进行改造，保障老年人用电安全。</w:t>
            </w:r>
          </w:p>
        </w:tc>
      </w:tr>
      <w:tr>
        <w:tblPrEx>
          <w:tblCellMar>
            <w:top w:w="0" w:type="dxa"/>
            <w:left w:w="108" w:type="dxa"/>
            <w:bottom w:w="0" w:type="dxa"/>
            <w:right w:w="108" w:type="dxa"/>
          </w:tblCellMar>
        </w:tblPrEx>
        <w:trPr>
          <w:trHeight w:val="950"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16</w:t>
            </w:r>
          </w:p>
        </w:tc>
        <w:tc>
          <w:tcPr>
            <w:tcW w:w="11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墙面翻新</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对室内墙面（吊顶）严重脱落或灰暗的，进行粉刷或铺贴壁纸等翻新。</w:t>
            </w:r>
          </w:p>
        </w:tc>
      </w:tr>
      <w:tr>
        <w:tblPrEx>
          <w:tblCellMar>
            <w:top w:w="0" w:type="dxa"/>
            <w:left w:w="108" w:type="dxa"/>
            <w:bottom w:w="0" w:type="dxa"/>
            <w:right w:w="108" w:type="dxa"/>
          </w:tblCellMar>
        </w:tblPrEx>
        <w:trPr>
          <w:trHeight w:val="1010"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17</w:t>
            </w:r>
          </w:p>
        </w:tc>
        <w:tc>
          <w:tcPr>
            <w:tcW w:w="1183"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老年用品配置（护理类）</w:t>
            </w: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轮椅/助行器</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辅助家人、照护人员推行/帮助老年人站立行走，扩大老年人活动空间范围。</w:t>
            </w:r>
          </w:p>
        </w:tc>
      </w:tr>
      <w:tr>
        <w:tblPrEx>
          <w:tblCellMar>
            <w:top w:w="0" w:type="dxa"/>
            <w:left w:w="108" w:type="dxa"/>
            <w:bottom w:w="0" w:type="dxa"/>
            <w:right w:w="108" w:type="dxa"/>
          </w:tblCellMar>
        </w:tblPrEx>
        <w:trPr>
          <w:trHeight w:val="129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18</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护理床</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帮助失能老年人完成起身、侧翻、上下床、吃饭等动作,辅助喂食、处理排泄物等。</w:t>
            </w:r>
          </w:p>
        </w:tc>
      </w:tr>
      <w:tr>
        <w:tblPrEx>
          <w:tblCellMar>
            <w:top w:w="0" w:type="dxa"/>
            <w:left w:w="108" w:type="dxa"/>
            <w:bottom w:w="0" w:type="dxa"/>
            <w:right w:w="108" w:type="dxa"/>
          </w:tblCellMar>
        </w:tblPrEx>
        <w:trPr>
          <w:trHeight w:val="1327"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19</w:t>
            </w:r>
          </w:p>
        </w:tc>
        <w:tc>
          <w:tcPr>
            <w:tcW w:w="11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防压疮用品</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避免长期乘坐轮椅或卧床的老年人发生严重压疮，包括防压疮坐垫、移位垫、靠垫或床垫等。</w:t>
            </w:r>
          </w:p>
        </w:tc>
      </w:tr>
      <w:tr>
        <w:tblPrEx>
          <w:tblCellMar>
            <w:top w:w="0" w:type="dxa"/>
            <w:left w:w="108" w:type="dxa"/>
            <w:bottom w:w="0" w:type="dxa"/>
            <w:right w:w="108" w:type="dxa"/>
          </w:tblCellMar>
        </w:tblPrEx>
        <w:trPr>
          <w:trHeight w:val="933" w:hRule="atLeast"/>
        </w:trPr>
        <w:tc>
          <w:tcPr>
            <w:tcW w:w="56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20</w:t>
            </w:r>
          </w:p>
        </w:tc>
        <w:tc>
          <w:tcPr>
            <w:tcW w:w="11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p>
        </w:tc>
        <w:tc>
          <w:tcPr>
            <w:tcW w:w="1584"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如厕辅具</w:t>
            </w:r>
          </w:p>
        </w:tc>
        <w:tc>
          <w:tcPr>
            <w:tcW w:w="57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在老年人卧床附近放置移动马桶或者便携式接尿器、插入式便器。</w:t>
            </w:r>
          </w:p>
        </w:tc>
      </w:tr>
      <w:tr>
        <w:tblPrEx>
          <w:tblCellMar>
            <w:top w:w="0" w:type="dxa"/>
            <w:left w:w="108" w:type="dxa"/>
            <w:bottom w:w="0" w:type="dxa"/>
            <w:right w:w="108" w:type="dxa"/>
          </w:tblCellMar>
        </w:tblPrEx>
        <w:trPr>
          <w:trHeight w:val="1040"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21</w:t>
            </w:r>
          </w:p>
        </w:tc>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老年用品配置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（生活类）</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放大装置</w:t>
            </w:r>
          </w:p>
        </w:tc>
        <w:tc>
          <w:tcPr>
            <w:tcW w:w="573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运用光学/电子原理进行影像放大，如手持放大镜等辅助工具。</w:t>
            </w:r>
          </w:p>
        </w:tc>
      </w:tr>
      <w:tr>
        <w:tblPrEx>
          <w:tblCellMar>
            <w:top w:w="0" w:type="dxa"/>
            <w:left w:w="108" w:type="dxa"/>
            <w:bottom w:w="0" w:type="dxa"/>
            <w:right w:w="108" w:type="dxa"/>
          </w:tblCellMar>
        </w:tblPrEx>
        <w:trPr>
          <w:trHeight w:val="1466"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22</w:t>
            </w: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
                <w:color w:val="333333"/>
                <w:kern w:val="0"/>
                <w:sz w:val="32"/>
                <w:szCs w:val="22"/>
                <w:shd w:val="clear" w:color="000000" w:fill="FFFFFF"/>
              </w:rPr>
            </w:pP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助听器</w:t>
            </w:r>
          </w:p>
        </w:tc>
        <w:tc>
          <w:tcPr>
            <w:tcW w:w="5739"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color w:val="333333"/>
                <w:kern w:val="0"/>
                <w:sz w:val="32"/>
                <w:szCs w:val="22"/>
                <w:shd w:val="clear" w:color="000000" w:fill="FFFFFF"/>
              </w:rPr>
            </w:pPr>
            <w:r>
              <w:rPr>
                <w:rFonts w:hint="eastAsia" w:ascii="仿宋_GB2312" w:hAnsi="仿宋"/>
                <w:color w:val="333333"/>
                <w:kern w:val="0"/>
                <w:sz w:val="32"/>
                <w:szCs w:val="22"/>
                <w:shd w:val="clear" w:color="000000" w:fill="FFFFFF"/>
              </w:rPr>
              <w:t>帮助老年人听清声音来源，增加与周围的交流，包括盒式助听器、耳内助听器、耳背助听器、骨导助听器等。</w:t>
            </w:r>
          </w:p>
        </w:tc>
      </w:tr>
    </w:tbl>
    <w:p/>
    <w:sectPr>
      <w:footerReference r:id="rId3" w:type="default"/>
      <w:pgSz w:w="11906" w:h="16838"/>
      <w:pgMar w:top="2098" w:right="1474" w:bottom="1984" w:left="1587" w:header="851" w:footer="1559" w:gutter="0"/>
      <w:pgBorders>
        <w:top w:val="none" w:sz="0" w:space="0"/>
        <w:left w:val="none" w:sz="0" w:space="0"/>
        <w:bottom w:val="none" w:sz="0" w:space="0"/>
        <w:right w:val="none" w:sz="0" w:space="0"/>
      </w:pgBorders>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- 5 -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- 5 -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OGIyZWZhMThiMjk3Zjc5MjlkNzQ1NGYzZDY5NjkifQ=="/>
  </w:docVars>
  <w:rsids>
    <w:rsidRoot w:val="013A5655"/>
    <w:rsid w:val="013A5655"/>
    <w:rsid w:val="0BA0150F"/>
    <w:rsid w:val="0D5349AA"/>
    <w:rsid w:val="12AD2CB7"/>
    <w:rsid w:val="15094719"/>
    <w:rsid w:val="168D7D7E"/>
    <w:rsid w:val="17F25F0F"/>
    <w:rsid w:val="21A104A5"/>
    <w:rsid w:val="22251247"/>
    <w:rsid w:val="285C6B5F"/>
    <w:rsid w:val="2C8627D8"/>
    <w:rsid w:val="2FB43A84"/>
    <w:rsid w:val="336223FC"/>
    <w:rsid w:val="354C5511"/>
    <w:rsid w:val="378105FB"/>
    <w:rsid w:val="3C8A280D"/>
    <w:rsid w:val="46207231"/>
    <w:rsid w:val="4A7E6194"/>
    <w:rsid w:val="5CF15CA6"/>
    <w:rsid w:val="5DC17C42"/>
    <w:rsid w:val="5E7A3527"/>
    <w:rsid w:val="63D178C2"/>
    <w:rsid w:val="70423D3E"/>
    <w:rsid w:val="70744060"/>
    <w:rsid w:val="72AD30E5"/>
    <w:rsid w:val="73061573"/>
    <w:rsid w:val="7BF50ADB"/>
    <w:rsid w:val="7D6A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link w:val="6"/>
    <w:semiHidden/>
    <w:qFormat/>
    <w:uiPriority w:val="0"/>
    <w:rPr>
      <w:rFonts w:eastAsia="宋体"/>
      <w:sz w:val="21"/>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ascii="Calibri" w:hAnsi="Calibri" w:eastAsia="宋体"/>
      <w:kern w:val="0"/>
      <w:sz w:val="24"/>
    </w:rPr>
  </w:style>
  <w:style w:type="paragraph" w:customStyle="1" w:styleId="6">
    <w:name w:val=" Char Char Char Char"/>
    <w:basedOn w:val="1"/>
    <w:link w:val="5"/>
    <w:qFormat/>
    <w:uiPriority w:val="0"/>
    <w:rPr>
      <w:rFonts w:eastAsia="宋体"/>
      <w:sz w:val="21"/>
    </w:rPr>
  </w:style>
  <w:style w:type="character" w:styleId="7">
    <w:name w:val="Hyperlink"/>
    <w:basedOn w:val="5"/>
    <w:qFormat/>
    <w:uiPriority w:val="0"/>
    <w:rPr>
      <w:color w:val="0000FF"/>
      <w:u w:val="single"/>
    </w:rPr>
  </w:style>
  <w:style w:type="character" w:customStyle="1" w:styleId="8">
    <w:name w:val="NormalCharacter"/>
    <w:semiHidden/>
    <w:qFormat/>
    <w:uiPriority w:val="0"/>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5153</Words>
  <Characters>5250</Characters>
  <Lines>0</Lines>
  <Paragraphs>0</Paragraphs>
  <TotalTime>17</TotalTime>
  <ScaleCrop>false</ScaleCrop>
  <LinksUpToDate>false</LinksUpToDate>
  <CharactersWithSpaces>5265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2021-05-12T06:49:00Z</dcterms:created>
  <dc:creator>Administrator</dc:creator>
  <cp:lastModifiedBy>陈卓鸿</cp:lastModifiedBy>
  <cp:lastPrinted>2021-05-19T06:47:00Z</cp:lastPrinted>
  <dcterms:modified xsi:type="dcterms:W3CDTF">2021-05-14T10:37:48Z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9F863800ACB145DCB1ADDD813EAD06BE</vt:lpwstr>
  </property>
</Properties>
</file>