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20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</w:p>
    <w:p>
      <w:pPr>
        <w:pStyle w:val="4"/>
        <w:widowControl/>
        <w:spacing w:beforeAutospacing="0" w:afterAutospacing="0"/>
        <w:jc w:val="center"/>
        <w:rPr>
          <w:rFonts w:ascii="创艺简标宋" w:hAnsi="创艺简标宋" w:eastAsia="创艺简标宋" w:cs="创艺简标宋"/>
          <w:color w:val="000000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color w:val="000000"/>
          <w:sz w:val="36"/>
          <w:szCs w:val="36"/>
        </w:rPr>
        <w:t>2019年全年度政府信息公开统计表</w:t>
      </w:r>
    </w:p>
    <w:p>
      <w:pPr>
        <w:pStyle w:val="4"/>
        <w:widowControl/>
        <w:spacing w:beforeAutospacing="0" w:afterAutospacing="0" w:line="400" w:lineRule="exact"/>
        <w:rPr>
          <w:rFonts w:ascii="Times New Roman" w:hAnsi="仿宋_GB2312" w:eastAsia="仿宋_GB2312" w:cs="Times New Roman"/>
          <w:color w:val="000000"/>
        </w:rPr>
      </w:pPr>
    </w:p>
    <w:p>
      <w:pPr>
        <w:pStyle w:val="4"/>
        <w:widowControl/>
        <w:spacing w:beforeAutospacing="0" w:afterAutospacing="0" w:line="400" w:lineRule="exact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仿宋_GB2312" w:eastAsia="仿宋_GB2312" w:cs="Times New Roman"/>
          <w:color w:val="000000"/>
        </w:rPr>
        <w:t>统计周期：</w:t>
      </w:r>
      <w:r>
        <w:rPr>
          <w:rFonts w:ascii="Times New Roman" w:hAnsi="Times New Roman" w:eastAsia="仿宋_GB2312" w:cs="Times New Roman"/>
          <w:color w:val="000000"/>
        </w:rPr>
        <w:t>2019</w:t>
      </w:r>
      <w:r>
        <w:rPr>
          <w:rFonts w:ascii="Times New Roman" w:hAnsi="仿宋_GB2312" w:eastAsia="仿宋_GB2312" w:cs="Times New Roman"/>
          <w:color w:val="000000"/>
        </w:rPr>
        <w:t>年</w:t>
      </w:r>
      <w:r>
        <w:rPr>
          <w:rFonts w:ascii="Times New Roman" w:hAnsi="Times New Roman" w:eastAsia="仿宋_GB2312" w:cs="Times New Roman"/>
          <w:color w:val="000000"/>
        </w:rPr>
        <w:t>1</w:t>
      </w:r>
      <w:r>
        <w:rPr>
          <w:rFonts w:ascii="Times New Roman" w:hAnsi="仿宋_GB2312" w:eastAsia="仿宋_GB2312" w:cs="Times New Roman"/>
          <w:color w:val="000000"/>
        </w:rPr>
        <w:t>月</w:t>
      </w:r>
      <w:r>
        <w:rPr>
          <w:rFonts w:ascii="Times New Roman" w:hAnsi="Times New Roman" w:eastAsia="仿宋_GB2312" w:cs="Times New Roman"/>
          <w:color w:val="000000"/>
        </w:rPr>
        <w:t>1</w:t>
      </w:r>
      <w:r>
        <w:rPr>
          <w:rFonts w:ascii="Times New Roman" w:hAnsi="仿宋_GB2312" w:eastAsia="仿宋_GB2312" w:cs="Times New Roman"/>
          <w:color w:val="000000"/>
        </w:rPr>
        <w:t>日至</w:t>
      </w:r>
      <w:r>
        <w:rPr>
          <w:rFonts w:ascii="Times New Roman" w:hAnsi="Times New Roman" w:eastAsia="仿宋_GB2312" w:cs="Times New Roman"/>
          <w:color w:val="000000"/>
        </w:rPr>
        <w:t>2019</w:t>
      </w:r>
      <w:r>
        <w:rPr>
          <w:rFonts w:ascii="Times New Roman" w:hAnsi="仿宋_GB2312" w:eastAsia="仿宋_GB2312" w:cs="Times New Roman"/>
          <w:color w:val="000000"/>
        </w:rPr>
        <w:t>年</w:t>
      </w:r>
      <w:r>
        <w:rPr>
          <w:rFonts w:ascii="Times New Roman" w:hAnsi="Times New Roman" w:eastAsia="仿宋_GB2312" w:cs="Times New Roman"/>
          <w:color w:val="000000"/>
        </w:rPr>
        <w:t>12</w:t>
      </w:r>
      <w:r>
        <w:rPr>
          <w:rFonts w:ascii="Times New Roman" w:hAnsi="仿宋_GB2312" w:eastAsia="仿宋_GB2312" w:cs="Times New Roman"/>
          <w:color w:val="000000"/>
        </w:rPr>
        <w:t>月</w:t>
      </w:r>
      <w:r>
        <w:rPr>
          <w:rFonts w:ascii="Times New Roman" w:hAnsi="Times New Roman" w:eastAsia="仿宋_GB2312" w:cs="Times New Roman"/>
          <w:color w:val="000000"/>
        </w:rPr>
        <w:t>31</w:t>
      </w:r>
      <w:r>
        <w:rPr>
          <w:rFonts w:ascii="Times New Roman" w:hAnsi="仿宋_GB2312" w:eastAsia="仿宋_GB2312" w:cs="Times New Roman"/>
          <w:color w:val="000000"/>
        </w:rPr>
        <w:t>日</w:t>
      </w:r>
      <w:r>
        <w:rPr>
          <w:rFonts w:ascii="Times New Roman" w:hAnsi="Times New Roman" w:eastAsia="仿宋_GB2312" w:cs="Times New Roman"/>
          <w:color w:val="000000"/>
        </w:rPr>
        <w:t xml:space="preserve">  </w:t>
      </w:r>
    </w:p>
    <w:p>
      <w:pPr>
        <w:pStyle w:val="4"/>
        <w:widowControl/>
        <w:spacing w:beforeAutospacing="0" w:afterAutospacing="0" w:line="400" w:lineRule="exact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ascii="Times New Roman" w:hAnsi="仿宋_GB2312" w:eastAsia="仿宋_GB2312" w:cs="Times New Roman"/>
          <w:color w:val="000000"/>
        </w:rPr>
        <w:t>填报日期：</w:t>
      </w:r>
      <w:r>
        <w:rPr>
          <w:rFonts w:hint="eastAsia" w:ascii="Times New Roman" w:hAnsi="仿宋_GB2312" w:eastAsia="仿宋_GB2312" w:cs="Times New Roman"/>
          <w:color w:val="000000"/>
          <w:lang w:val="en-US" w:eastAsia="zh-CN"/>
        </w:rPr>
        <w:t>2020年1月20日</w:t>
      </w:r>
    </w:p>
    <w:p>
      <w:pPr>
        <w:pStyle w:val="4"/>
        <w:widowControl/>
        <w:spacing w:beforeAutospacing="0" w:afterAutospacing="0" w:line="400" w:lineRule="exact"/>
        <w:rPr>
          <w:rFonts w:ascii="Times New Roman" w:hAnsi="Times New Roman" w:eastAsia="仿宋_GB2312" w:cs="Times New Roman"/>
          <w:color w:val="000000"/>
        </w:rPr>
      </w:pPr>
      <w:r>
        <w:rPr>
          <w:rFonts w:ascii="Times New Roman" w:hAnsi="仿宋_GB2312" w:eastAsia="仿宋_GB2312" w:cs="Times New Roman"/>
          <w:color w:val="000000"/>
        </w:rPr>
        <w:t>单位名称：</w:t>
      </w:r>
      <w:r>
        <w:rPr>
          <w:rFonts w:hint="eastAsia" w:ascii="Times New Roman" w:hAnsi="仿宋_GB2312" w:eastAsia="仿宋_GB2312" w:cs="Times New Roman"/>
          <w:color w:val="000000"/>
          <w:lang w:eastAsia="zh-CN"/>
        </w:rPr>
        <w:t>龙湖区农业农村局</w:t>
      </w:r>
      <w:r>
        <w:rPr>
          <w:rFonts w:ascii="Times New Roman" w:hAnsi="Times New Roman" w:eastAsia="仿宋_GB2312" w:cs="Times New Roman"/>
          <w:color w:val="000000"/>
        </w:rPr>
        <w:t xml:space="preserve">      </w:t>
      </w:r>
    </w:p>
    <w:p>
      <w:pPr>
        <w:pStyle w:val="4"/>
        <w:widowControl/>
        <w:spacing w:beforeAutospacing="0" w:afterAutospacing="0" w:line="400" w:lineRule="exact"/>
        <w:rPr>
          <w:rFonts w:hint="default" w:ascii="Times New Roman" w:hAnsi="仿宋_GB2312" w:eastAsia="仿宋_GB2312" w:cs="Times New Roman"/>
          <w:color w:val="000000"/>
          <w:lang w:val="en-US" w:eastAsia="zh-CN"/>
        </w:rPr>
      </w:pPr>
      <w:r>
        <w:rPr>
          <w:rFonts w:ascii="Times New Roman" w:hAnsi="仿宋_GB2312" w:eastAsia="仿宋_GB2312" w:cs="Times New Roman"/>
          <w:color w:val="000000"/>
        </w:rPr>
        <w:t>分管领导：</w:t>
      </w:r>
      <w:r>
        <w:rPr>
          <w:rFonts w:hint="eastAsia" w:ascii="Times New Roman" w:hAnsi="仿宋_GB2312" w:eastAsia="仿宋_GB2312" w:cs="Times New Roman"/>
          <w:color w:val="000000"/>
          <w:lang w:eastAsia="zh-CN"/>
        </w:rPr>
        <w:t>林春</w:t>
      </w:r>
      <w:r>
        <w:rPr>
          <w:rFonts w:ascii="Times New Roman" w:hAnsi="Times New Roman" w:eastAsia="仿宋_GB2312" w:cs="Times New Roman"/>
          <w:color w:val="000000"/>
        </w:rPr>
        <w:t xml:space="preserve">     </w:t>
      </w:r>
      <w:r>
        <w:rPr>
          <w:rFonts w:ascii="Times New Roman" w:hAnsi="仿宋_GB2312" w:eastAsia="仿宋_GB2312" w:cs="Times New Roman"/>
          <w:color w:val="000000"/>
        </w:rPr>
        <w:t>填报人：</w:t>
      </w:r>
      <w:r>
        <w:rPr>
          <w:rFonts w:hint="eastAsia" w:ascii="Times New Roman" w:hAnsi="仿宋_GB2312" w:eastAsia="仿宋_GB2312" w:cs="Times New Roman"/>
          <w:color w:val="000000"/>
          <w:lang w:eastAsia="zh-CN"/>
        </w:rPr>
        <w:t>陈炫遑</w:t>
      </w:r>
      <w:r>
        <w:rPr>
          <w:rFonts w:ascii="Times New Roman" w:hAnsi="Times New Roman" w:eastAsia="仿宋_GB2312" w:cs="Times New Roman"/>
          <w:color w:val="000000"/>
        </w:rPr>
        <w:t xml:space="preserve">      </w:t>
      </w:r>
      <w:r>
        <w:rPr>
          <w:rFonts w:ascii="Times New Roman" w:hAnsi="仿宋_GB2312" w:eastAsia="仿宋_GB2312" w:cs="Times New Roman"/>
          <w:color w:val="000000"/>
        </w:rPr>
        <w:t>联系电话：</w:t>
      </w:r>
      <w:r>
        <w:rPr>
          <w:rFonts w:hint="eastAsia" w:ascii="Times New Roman" w:hAnsi="仿宋_GB2312" w:eastAsia="仿宋_GB2312" w:cs="Times New Roman"/>
          <w:color w:val="000000"/>
          <w:lang w:val="en-US" w:eastAsia="zh-CN"/>
        </w:rPr>
        <w:t>88839094</w:t>
      </w:r>
    </w:p>
    <w:p>
      <w:pPr>
        <w:pStyle w:val="4"/>
        <w:widowControl/>
        <w:spacing w:beforeAutospacing="0" w:afterAutospacing="0"/>
        <w:ind w:firstLine="600" w:firstLineChars="250"/>
        <w:rPr>
          <w:rFonts w:ascii="Times New Roman" w:hAnsi="Times New Roman" w:eastAsia="仿宋_GB2312" w:cs="Times New Roman"/>
          <w:color w:val="000000"/>
        </w:rPr>
      </w:pPr>
    </w:p>
    <w:p>
      <w:pPr>
        <w:pStyle w:val="4"/>
        <w:widowControl/>
        <w:numPr>
          <w:ilvl w:val="0"/>
          <w:numId w:val="1"/>
        </w:numPr>
        <w:spacing w:beforeAutospacing="0" w:afterAutospacing="0" w:line="600" w:lineRule="exact"/>
        <w:jc w:val="both"/>
        <w:rPr>
          <w:rFonts w:hint="eastAsia"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年度按照有关规定和要求，区农业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局认真贯彻《条例》精神，创新思路，狠抓落实，积极推进政府信息公开工作，使信息公开的内容进一步拓展，公开的形式不断规范，公开的制度不断完善，工作的透明度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不断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提高。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（一）切实加强组织领导，落实工作责任。我局高度重视政府信息公开工作，明确牵头领导、落实人员分工，认真贯彻落实《政府信息公开条例》，有效地提高了行政工作透明度，扎实推进农业农村政务、服务信息公开建设工作的开展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（二）积极拓宽信息公开渠道，自觉接受社会监督。其一，我局在办公大楼设置政务公开栏、公布投诉举报信箱、监督举报电话、电子邮箱的同时，主动通过政务网站、网上办事大厅等载体，及时公开、更新职能职责、组织机构，办事指南、办事依据等项目，保证渠道畅通，方便农民群众办事及反映诉求。其二，我局进一步创新政务公开渠道,通过积极参与民声热线二级联动活动,不断加强与电视台、电台、报纸等新闻媒体的联系和沟通,及时解决群众通过12345平台、民生热线等渠道反映的问题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（三）深化权责清单公开工作，优化工作流程。我局深入开展各项行政审批事项改革工作，及时受理权责范围内的审批事项，网上全流程办理率达100%，网上办结率达100%，网上申办事项到现场办理次数不超过1次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，提高了政府效能和服务质量。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930" w:firstLine="480" w:firstLineChars="200"/>
        <w:jc w:val="both"/>
        <w:textAlignment w:val="auto"/>
        <w:rPr>
          <w:rFonts w:hint="eastAsia" w:ascii="宋体" w:hAnsi="宋体" w:cs="宋体"/>
          <w:color w:val="000000"/>
        </w:rPr>
      </w:pPr>
    </w:p>
    <w:p>
      <w:pPr>
        <w:pStyle w:val="4"/>
        <w:widowControl/>
        <w:numPr>
          <w:ilvl w:val="0"/>
          <w:numId w:val="1"/>
        </w:numPr>
        <w:spacing w:beforeAutospacing="0" w:after="240" w:afterAutospacing="0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color w:val="000000"/>
        </w:rPr>
        <w:t>主动公开政府信息情况</w:t>
      </w:r>
    </w:p>
    <w:tbl>
      <w:tblPr>
        <w:tblStyle w:val="5"/>
        <w:tblW w:w="814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增加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减少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减少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110.8万元</w:t>
            </w:r>
          </w:p>
        </w:tc>
      </w:tr>
    </w:tbl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>
      <w:pPr>
        <w:pStyle w:val="4"/>
        <w:widowControl/>
        <w:spacing w:beforeAutospacing="0" w:after="24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color w:val="000000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856"/>
        <w:gridCol w:w="2094"/>
        <w:gridCol w:w="816"/>
        <w:gridCol w:w="758"/>
        <w:gridCol w:w="758"/>
        <w:gridCol w:w="817"/>
        <w:gridCol w:w="978"/>
        <w:gridCol w:w="715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0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2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color w:val="000000"/>
        </w:rPr>
        <w:t>四、政府信息公开行政复议、行政诉讼情况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cs="宋体"/>
          <w:color w:val="000000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after="150"/>
        <w:jc w:val="center"/>
        <w:rPr>
          <w:rFonts w:ascii="Segoe UI" w:hAnsi="Segoe UI" w:eastAsia="Segoe UI" w:cs="Segoe UI"/>
          <w:color w:val="000000"/>
        </w:rPr>
      </w:pPr>
    </w:p>
    <w:p>
      <w:pPr>
        <w:pStyle w:val="4"/>
        <w:widowControl/>
        <w:spacing w:beforeAutospacing="0" w:afterAutospacing="0" w:line="600" w:lineRule="exact"/>
        <w:ind w:firstLine="420"/>
        <w:jc w:val="both"/>
        <w:rPr>
          <w:rFonts w:hint="eastAsia"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20"/>
        <w:jc w:val="both"/>
        <w:textAlignment w:val="auto"/>
        <w:rPr>
          <w:rFonts w:hint="eastAsia" w:ascii="宋体" w:hAnsi="宋体" w:cs="宋体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年度，我局在政府信息公开工作中取得了初步成效，但也存在一些不足，如：内容不够丰富，有待进一步深化。 接下来，我局将积极采取切实有效的措施，不断提高政府信息公开工作的质量。一是继续深入贯彻落实信息公开条例，完善部门信息公开工作制度，落实专人做好政府信息公开工作。二是及时落实网上办事大厅进驻业务的信息更新和承办工作。三是进一步拓宽政府信息公开内容范围，及时公开政务信息、通知公告、部门文件、规范性文件等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>
      <w:pPr>
        <w:pStyle w:val="4"/>
        <w:widowControl/>
        <w:spacing w:beforeAutospacing="0" w:afterAutospacing="0" w:line="600" w:lineRule="exact"/>
        <w:ind w:firstLine="420"/>
        <w:jc w:val="both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color w:val="000000"/>
        </w:rPr>
        <w:t>六、其他需要报告的事项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无。</w:t>
      </w:r>
    </w:p>
    <w:p>
      <w:bookmarkStart w:id="0" w:name="_GoBack"/>
      <w:bookmarkEnd w:id="0"/>
    </w:p>
    <w:sectPr>
      <w:footerReference r:id="rId3" w:type="default"/>
      <w:pgSz w:w="11906" w:h="16838"/>
      <w:pgMar w:top="1247" w:right="1758" w:bottom="1247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7C5"/>
    <w:multiLevelType w:val="multilevel"/>
    <w:tmpl w:val="0DCD17C5"/>
    <w:lvl w:ilvl="0" w:tentative="0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F1A41"/>
    <w:rsid w:val="006119EF"/>
    <w:rsid w:val="00A60159"/>
    <w:rsid w:val="00CD54C8"/>
    <w:rsid w:val="00EA5B33"/>
    <w:rsid w:val="138D472F"/>
    <w:rsid w:val="14D219F4"/>
    <w:rsid w:val="1C4F1A41"/>
    <w:rsid w:val="21FD2969"/>
    <w:rsid w:val="29B47DBB"/>
    <w:rsid w:val="462817E3"/>
    <w:rsid w:val="4DD25792"/>
    <w:rsid w:val="5DD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212</Words>
  <Characters>1213</Characters>
  <Lines>10</Lines>
  <Paragraphs>2</Paragraphs>
  <TotalTime>254</TotalTime>
  <ScaleCrop>false</ScaleCrop>
  <LinksUpToDate>false</LinksUpToDate>
  <CharactersWithSpaces>1423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2020-01-06T02:12:00Z</dcterms:created>
  <dc:creator>user01</dc:creator>
  <cp:lastModifiedBy>遑大大</cp:lastModifiedBy>
  <cp:lastPrinted>2020-02-05T09:04:30Z</cp:lastPrinted>
  <dcterms:modified xsi:type="dcterms:W3CDTF">2020-02-05T10:32:35Z</dcterms:modified>
  <dc:title>2019年全年度政府信息公开统计表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