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932" w:rightChars="-444"/>
        <w:jc w:val="center"/>
        <w:rPr>
          <w:rFonts w:hint="eastAsia" w:eastAsia="方正小标宋简体"/>
          <w:color w:val="FF0000"/>
          <w:spacing w:val="20"/>
          <w:w w:val="78"/>
          <w:sz w:val="84"/>
          <w:szCs w:val="84"/>
        </w:rPr>
      </w:pPr>
      <w:r>
        <w:rPr>
          <w:rFonts w:eastAsia="方正小标宋简体"/>
          <w:color w:val="FF0000"/>
          <w:spacing w:val="2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891540</wp:posOffset>
                </wp:positionV>
                <wp:extent cx="5921375" cy="635"/>
                <wp:effectExtent l="0" t="25400" r="3175" b="311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1375" cy="635"/>
                        </a:xfrm>
                        <a:prstGeom prst="line">
                          <a:avLst/>
                        </a:prstGeom>
                        <a:ln w="508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70.2pt;height:0.05pt;width:466.25pt;z-index:251658240;mso-width-relative:page;mso-height-relative:page;" filled="f" stroked="t" coordsize="21600,21600" o:gfxdata="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Df&#10;xbfZAAAACwEAAA8AAAAAAAAAAQAgAAAAIgAAAGRycy9kb3ducmV2LnhtbFBLAQIUABQAAAAIAIdO&#10;4kAoIHns6QEAAKkDAAAOAAAAAAAAAAEAIAAAACgBAABkcnMvZTJvRG9jLnhtbFBLBQYAAAAABgAG&#10;AFkBAACDBQAAAAA=&#10;">
                <v:fill on="f" focussize="0,0"/>
                <v:stroke weight="4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color w:val="FF0000"/>
          <w:spacing w:val="20"/>
          <w:w w:val="78"/>
          <w:sz w:val="84"/>
          <w:szCs w:val="84"/>
        </w:rPr>
        <w:t>汕头市龙湖区市场监督管</w:t>
      </w:r>
      <w:r>
        <w:rPr>
          <w:rFonts w:hint="eastAsia" w:eastAsia="方正小标宋简体"/>
          <w:color w:val="FF0000"/>
          <w:spacing w:val="20"/>
          <w:w w:val="78"/>
          <w:sz w:val="84"/>
          <w:szCs w:val="84"/>
          <w:lang w:eastAsia="zh-CN"/>
        </w:rPr>
        <w:t>理</w:t>
      </w:r>
      <w:r>
        <w:rPr>
          <w:rFonts w:hint="eastAsia" w:eastAsia="方正小标宋简体"/>
          <w:color w:val="FF0000"/>
          <w:spacing w:val="20"/>
          <w:w w:val="78"/>
          <w:sz w:val="84"/>
          <w:szCs w:val="84"/>
        </w:rPr>
        <w:t>局</w:t>
      </w:r>
    </w:p>
    <w:p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关于印发202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龙湖区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餐饮服务单位</w:t>
      </w:r>
    </w:p>
    <w:p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监督检查计划的通知</w:t>
      </w:r>
    </w:p>
    <w:p>
      <w:pPr>
        <w:adjustRightInd w:val="0"/>
        <w:snapToGrid w:val="0"/>
        <w:spacing w:line="578" w:lineRule="exact"/>
        <w:rPr>
          <w:rFonts w:hint="default" w:ascii="Times New Roman" w:hAnsi="Times New Roman" w:cs="Times New Roman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市场监督管理所</w:t>
      </w:r>
      <w:r>
        <w:rPr>
          <w:rFonts w:hint="default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bookmarkStart w:id="1" w:name="_GoBack"/>
      <w:bookmarkEnd w:id="1"/>
      <w:r>
        <w:rPr>
          <w:rFonts w:hint="default" w:ascii="仿宋_GB2312" w:hAnsi="仿宋_GB2312" w:eastAsia="仿宋_GB2312" w:cs="仿宋_GB2312"/>
          <w:sz w:val="32"/>
          <w:szCs w:val="32"/>
        </w:rPr>
        <w:t>为进一步加强食品安全监督检查力度，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</w:rPr>
        <w:t>局制定了《202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龙湖区</w:t>
      </w:r>
      <w:r>
        <w:rPr>
          <w:rFonts w:hint="default" w:ascii="仿宋_GB2312" w:hAnsi="仿宋_GB2312" w:eastAsia="仿宋_GB2312" w:cs="仿宋_GB2312"/>
          <w:sz w:val="32"/>
          <w:szCs w:val="32"/>
        </w:rPr>
        <w:t>餐饮服务单位监督检查计划》，现印发给你们。请对照抓好落实，执行中遇到问题请与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区局食品经营股</w:t>
      </w:r>
      <w:r>
        <w:rPr>
          <w:rFonts w:hint="default" w:ascii="仿宋_GB2312" w:hAnsi="仿宋_GB2312" w:eastAsia="仿宋_GB2312" w:cs="仿宋_GB2312"/>
          <w:sz w:val="32"/>
          <w:szCs w:val="32"/>
        </w:rPr>
        <w:t>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2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6416040</wp:posOffset>
            </wp:positionV>
            <wp:extent cx="1438275" cy="1438275"/>
            <wp:effectExtent l="0" t="0" r="9525" b="9525"/>
            <wp:wrapNone/>
            <wp:docPr id="3" name="图片 4" descr="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te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6263640</wp:posOffset>
            </wp:positionV>
            <wp:extent cx="1438275" cy="1438275"/>
            <wp:effectExtent l="0" t="0" r="9525" b="9525"/>
            <wp:wrapNone/>
            <wp:docPr id="2" name="图片 4" descr="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te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汕头市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龙湖</w:t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6263640</wp:posOffset>
            </wp:positionV>
            <wp:extent cx="1438275" cy="1438275"/>
            <wp:effectExtent l="0" t="0" r="9525" b="9525"/>
            <wp:wrapNone/>
            <wp:docPr id="4" name="图片 4" descr="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e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</w:rPr>
        <w:t>市</w:t>
      </w:r>
      <w:bookmarkStart w:id="0" w:name="seal"/>
      <w:bookmarkEnd w:id="0"/>
      <w:r>
        <w:rPr>
          <w:rFonts w:hint="default" w:ascii="仿宋_GB2312" w:hAnsi="仿宋_GB2312" w:eastAsia="仿宋_GB2312" w:cs="仿宋_GB2312"/>
          <w:sz w:val="32"/>
          <w:szCs w:val="32"/>
        </w:rPr>
        <w:t>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2023年5月5日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eastAsia="zh-CN"/>
        </w:rPr>
      </w:pP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龙湖区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餐饮服务单位监督检查计划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default" w:ascii="Times New Roman" w:hAnsi="Times New Roman" w:cs="Times New Roman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为深入贯彻落实《中共中央 国务院关于深化改革加强食品安全工作的意见》以及市场监管总局、省、市对食品安全监管工作的总体要求，根据《食品安全法》及其实施条例，结合202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年广东省食品经营单位监督检查计划和202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年汕头市餐饮服务安全监管工作重点，制定本计划。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通过监督检查，进一步督促餐饮服务提供者落实食品安全主体责任，强化监管部门监管责任，推动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餐饮服务</w:t>
      </w:r>
      <w:r>
        <w:rPr>
          <w:rFonts w:hint="default" w:ascii="仿宋_GB2312" w:hAnsi="仿宋_GB2312" w:eastAsia="仿宋_GB2312" w:cs="仿宋_GB2312"/>
          <w:sz w:val="32"/>
          <w:szCs w:val="32"/>
        </w:rPr>
        <w:t>企业按要求配备配齐食品安全总监、食品安全员，落实“日管控、周排查、月调度”制度机制，防控食品安全风险，及时发现并消除区域性、系统性食品安全顽疾问题和突出隐患，保障人民群众食品消费安全。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二、检查重点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一）重点对象：学校（含幼儿园，以下同）食堂、校外托管机构及校园周边食品经营单位、向学校供餐的集体配餐单位；养老机构、大型企业食堂等单位食堂及相关集体配餐单位；重大节假日的消费重点区域如车站码头、高速公路服务区、旅游景区的餐饮服务单位；入网餐饮服务提供者，连锁餐饮企业总部（总店）及其配送中心、门店等；农村地区餐饮服务提供者、农村集体聚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（二）重点品种：湿粉类食品、进口冷链食品、应节食品、生鲜肉及肉制品、酒类产品（含自泡酒）、活体河豚鱼和野生河豚鱼及其制品（禁止经营）、食品添加剂、预制菜、非法使用金银箔粉食品等。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（三）重要时点：元旦、春节、中秋、国庆等重大节假日，春秋两季开学季，中高考季，季节变换期，突发食品安全事故等。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（四）重点内容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：查处无证无照经营行为，加强</w:t>
      </w:r>
      <w:r>
        <w:rPr>
          <w:rFonts w:hint="default" w:ascii="仿宋_GB2312" w:hAnsi="仿宋_GB2312" w:eastAsia="仿宋_GB2312" w:cs="仿宋_GB2312"/>
          <w:sz w:val="32"/>
          <w:szCs w:val="32"/>
        </w:rPr>
        <w:t>信息公示、制度管理、人员管理、环境卫生、原料控制、加工制作过程、餐饮具清洗消毒等方面检查力度，落实餐饮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default" w:ascii="仿宋_GB2312" w:hAnsi="仿宋_GB2312" w:eastAsia="仿宋_GB2312" w:cs="仿宋_GB2312"/>
          <w:sz w:val="32"/>
          <w:szCs w:val="32"/>
        </w:rPr>
        <w:t>单位食品安全“两个责任”分层分级包保工作，督促餐饮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服务单位</w:t>
      </w:r>
      <w:r>
        <w:rPr>
          <w:rFonts w:hint="default" w:ascii="仿宋_GB2312" w:hAnsi="仿宋_GB2312" w:eastAsia="仿宋_GB2312" w:cs="仿宋_GB2312"/>
          <w:sz w:val="32"/>
          <w:szCs w:val="32"/>
        </w:rPr>
        <w:t>落实“日管控、周排查、月调度”工作机制。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三、时间安排和检查方式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结合重点工作安排、重要时间节点和食品安全风险研判情况以及突发性食物安全事件等，采用日常监督检查、风险隐患排查、专项检查、专项整治、专项监督抽检、联合检查、督促指导等方式开展监督检查。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（一）各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市场监管所</w:t>
      </w:r>
      <w:r>
        <w:rPr>
          <w:rFonts w:hint="default" w:ascii="仿宋_GB2312" w:hAnsi="仿宋_GB2312" w:eastAsia="仿宋_GB2312" w:cs="仿宋_GB2312"/>
          <w:sz w:val="32"/>
          <w:szCs w:val="32"/>
        </w:rPr>
        <w:t>要结合本地实际，制定餐饮服务环节年度监督检查计划，计划应包含但不限于本计划所列的重点检查对象。充分利用“查餐厅”“九号查酒”“逢九查酒”“你送我检”等活动，扩大宣传，引导社会公众参与食品安全监督检查，营造食品安全社会共治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</w:rPr>
        <w:t>局将对各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</w:t>
      </w:r>
      <w:r>
        <w:rPr>
          <w:rFonts w:hint="default" w:ascii="仿宋_GB2312" w:hAnsi="仿宋_GB2312" w:eastAsia="仿宋_GB2312" w:cs="仿宋_GB2312"/>
          <w:sz w:val="32"/>
          <w:szCs w:val="32"/>
        </w:rPr>
        <w:t>开展督导检查，随机选取监督检查对象开展实地检查，其中对集体用餐配送单位实行全覆盖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督导</w:t>
      </w:r>
      <w:r>
        <w:rPr>
          <w:rFonts w:hint="default" w:ascii="仿宋_GB2312" w:hAnsi="仿宋_GB2312" w:eastAsia="仿宋_GB2312" w:cs="仿宋_GB2312"/>
          <w:sz w:val="32"/>
          <w:szCs w:val="32"/>
        </w:rPr>
        <w:t>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（三）现场检查过程中应及时取证，对不符合食品安全监管要求的设施、设备、物料等实物和现场情况进行拍摄和记录，对相关文件资料等进行复印。检查结果按要求做好公示。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（四）在检查中有涉及抽检的，应重点检测食品中是否超范围、超限量使用食品添加剂，违法添加非食用物质以及农兽药残留、微生物污染等项目。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1B2A"/>
    <w:multiLevelType w:val="multilevel"/>
    <w:tmpl w:val="79DB1B2A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32F1F"/>
    <w:rsid w:val="057C5F1F"/>
    <w:rsid w:val="0974697B"/>
    <w:rsid w:val="490B1AAA"/>
    <w:rsid w:val="52B13E61"/>
    <w:rsid w:val="7DD3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2022-05-10T01:14:00Z</dcterms:created>
  <dc:creator>lh-spjy</dc:creator>
  <cp:lastModifiedBy>lh-spjy</cp:lastModifiedBy>
  <dcterms:modified xsi:type="dcterms:W3CDTF">2023-05-30T08:59:24Z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